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8B5CA" w14:textId="239238AC" w:rsidR="00573F3D" w:rsidRPr="00573F3D" w:rsidRDefault="00573F3D" w:rsidP="00573F3D">
      <w:pPr>
        <w:rPr>
          <w:rFonts w:ascii="Calibri" w:hAnsi="Calibri" w:cs="Calibri"/>
          <w:b/>
          <w:bCs/>
          <w:color w:val="FFFFFF" w:themeColor="background1"/>
          <w:sz w:val="52"/>
          <w:szCs w:val="52"/>
          <w:lang w:val="fr-FR"/>
        </w:rPr>
      </w:pPr>
      <w:r>
        <w:rPr>
          <w:rFonts w:ascii="Calibri" w:hAnsi="Calibri" w:cs="Calibri"/>
          <w:b/>
          <w:bCs/>
          <w:noProof/>
          <w:lang w:val="en-US"/>
        </w:rPr>
        <w:drawing>
          <wp:anchor distT="0" distB="0" distL="114300" distR="114300" simplePos="0" relativeHeight="251659264" behindDoc="1" locked="0" layoutInCell="1" allowOverlap="1" wp14:anchorId="6429B302" wp14:editId="63814C32">
            <wp:simplePos x="0" y="0"/>
            <wp:positionH relativeFrom="page">
              <wp:posOffset>16066</wp:posOffset>
            </wp:positionH>
            <wp:positionV relativeFrom="paragraph">
              <wp:posOffset>-897890</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w14:anchorId="523705D6">
          <v:rect id="Rectangle 63" o:spid="_x0000_s1026" style="position:absolute;margin-left:40.55pt;margin-top:35.3pt;width:46.2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w:r>
      <w:r w:rsidRPr="00573F3D">
        <w:rPr>
          <w:rFonts w:ascii="Calibri" w:hAnsi="Calibri" w:cs="Calibri"/>
          <w:b/>
          <w:bCs/>
          <w:color w:val="FFFFFF" w:themeColor="background1"/>
          <w:sz w:val="52"/>
          <w:szCs w:val="52"/>
          <w:lang w:val="fr-FR"/>
        </w:rPr>
        <w:t>S</w:t>
      </w:r>
      <w:r>
        <w:rPr>
          <w:rFonts w:ascii="Calibri" w:hAnsi="Calibri" w:cs="Calibri"/>
          <w:b/>
          <w:bCs/>
          <w:color w:val="FFFFFF" w:themeColor="background1"/>
          <w:sz w:val="52"/>
          <w:szCs w:val="52"/>
          <w:lang w:val="fr-FR"/>
        </w:rPr>
        <w:t>HRNUTÍ ČLÁNKŮ</w:t>
      </w:r>
      <w:r w:rsidRPr="00573F3D">
        <w:rPr>
          <w:rFonts w:ascii="Calibri" w:hAnsi="Calibri" w:cs="Calibri"/>
          <w:b/>
          <w:bCs/>
          <w:color w:val="FFFFFF" w:themeColor="background1"/>
          <w:sz w:val="52"/>
          <w:szCs w:val="52"/>
          <w:lang w:val="fr-FR"/>
        </w:rPr>
        <w:t xml:space="preserve"> : </w:t>
      </w:r>
      <w:r>
        <w:rPr>
          <w:rFonts w:ascii="Calibri" w:hAnsi="Calibri" w:cs="Calibri"/>
          <w:b/>
          <w:bCs/>
          <w:color w:val="FFFFFF" w:themeColor="background1"/>
          <w:sz w:val="52"/>
          <w:szCs w:val="52"/>
          <w:lang w:val="fr-FR"/>
        </w:rPr>
        <w:t>ČLÁNEK</w:t>
      </w:r>
      <w:r w:rsidRPr="00573F3D">
        <w:rPr>
          <w:rFonts w:ascii="Calibri" w:hAnsi="Calibri" w:cs="Calibri"/>
          <w:b/>
          <w:bCs/>
          <w:color w:val="FFFFFF" w:themeColor="background1"/>
          <w:sz w:val="52"/>
          <w:szCs w:val="52"/>
          <w:lang w:val="fr-FR"/>
        </w:rPr>
        <w:t xml:space="preserve"> 10 </w:t>
      </w:r>
      <w:r>
        <w:rPr>
          <w:rFonts w:ascii="Calibri" w:hAnsi="Calibri" w:cs="Calibri"/>
          <w:b/>
          <w:bCs/>
          <w:color w:val="FFFFFF" w:themeColor="background1"/>
          <w:sz w:val="52"/>
          <w:szCs w:val="52"/>
          <w:lang w:val="fr-FR"/>
        </w:rPr>
        <w:t>LZPEU</w:t>
      </w:r>
      <w:r w:rsidRPr="00573F3D">
        <w:rPr>
          <w:rFonts w:ascii="Calibri" w:hAnsi="Calibri" w:cs="Calibri"/>
          <w:b/>
          <w:bCs/>
          <w:color w:val="FFFFFF" w:themeColor="background1"/>
          <w:sz w:val="52"/>
          <w:szCs w:val="52"/>
          <w:lang w:val="fr-FR"/>
        </w:rPr>
        <w:t xml:space="preserve"> </w:t>
      </w:r>
    </w:p>
    <w:p w14:paraId="689EB0B4" w14:textId="17DA1686" w:rsidR="00CA5340" w:rsidRDefault="00573F3D" w:rsidP="00573F3D">
      <w:pPr>
        <w:pStyle w:val="Normlnweb"/>
        <w:tabs>
          <w:tab w:val="left" w:pos="327"/>
        </w:tabs>
        <w:rPr>
          <w:rFonts w:ascii="Calibri" w:hAnsi="Calibri"/>
          <w:b/>
        </w:rPr>
      </w:pPr>
      <w:r>
        <w:rPr>
          <w:noProof/>
        </w:rPr>
        <w:pict w14:anchorId="4444A623">
          <v:roundrect id="Zone de texte 2" o:spid="_x0000_s1027" style="position:absolute;margin-left:-9.35pt;margin-top:67.4pt;width:423.75pt;height:153.65pt;z-index:251662336;visibility:visible;mso-wrap-style:square;mso-width-percent:0;mso-height-percent:200;mso-wrap-distance-left:9pt;mso-wrap-distance-top:3.6pt;mso-wrap-distance-right:9pt;mso-wrap-distance-bottom:3.6pt;mso-position-horizontal-relative:margin;mso-position-vertical-relative:text;mso-width-percent:0;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" fillcolor="#d9e2f3 [660]" strokecolor="#d9e2f3 [660]">
            <v:stroke joinstyle="miter"/>
            <v:textbox style="mso-fit-shape-to-text:t">
              <w:txbxContent>
                <w:p w14:paraId="473DEE62" w14:textId="516CFCDC" w:rsidR="00573F3D" w:rsidRPr="00334A12" w:rsidRDefault="00573F3D" w:rsidP="00573F3D">
                  <w:pPr>
                    <w:rPr>
                      <w:rFonts w:asciiTheme="majorHAnsi" w:hAnsiTheme="majorHAnsi" w:cstheme="majorHAnsi"/>
                      <w:b/>
                      <w:bCs/>
                      <w:i/>
                    </w:rPr>
                  </w:pPr>
                  <w:r w:rsidRPr="00334A12">
                    <w:rPr>
                      <w:b/>
                      <w:i/>
                    </w:rPr>
                    <w:t>“</w:t>
                  </w:r>
                  <w:r>
                    <w:rPr>
                      <w:rFonts w:asciiTheme="majorHAnsi" w:hAnsiTheme="majorHAnsi" w:cstheme="majorHAnsi"/>
                      <w:b/>
                      <w:bCs/>
                      <w:i/>
                    </w:rPr>
                    <w:t>Svoboda myšlení, svědomí a náboženského vyznání</w:t>
                  </w:r>
                </w:p>
                <w:p w14:paraId="2DEEF135" w14:textId="77777777" w:rsidR="00573F3D" w:rsidRPr="00AB6C7C" w:rsidRDefault="00573F3D" w:rsidP="00573F3D">
                  <w:pPr>
                    <w:rPr>
                      <w:rFonts w:asciiTheme="majorHAnsi" w:hAnsiTheme="majorHAnsi" w:cstheme="majorHAnsi"/>
                      <w:b/>
                      <w:bCs/>
                      <w:i/>
                      <w:iCs/>
                    </w:rPr>
                  </w:pPr>
                </w:p>
                <w:p w14:paraId="2A099F54" w14:textId="77777777" w:rsidR="00573F3D" w:rsidRDefault="00573F3D" w:rsidP="00573F3D">
                  <w:pPr>
                    <w:ind w:left="60"/>
                    <w:jc w:val="both"/>
                    <w:rPr>
                      <w:i/>
                    </w:rPr>
                  </w:pPr>
                  <w:r>
                    <w:t>„</w:t>
                  </w:r>
                  <w:r>
                    <w:rPr>
                      <w:i/>
                    </w:rPr>
                    <w:t>1. Každý má právo na svobodu myšlení, svědomí a náboženského vyznání. Toto právo zahrnuje svobodu změnit své náboženské vyznání nebo přesvědčení, jakož i svobodu projevovat své náboženské vyznání nebo přesvědčení sám nebo společně s jinými, ať veřejně nebo soukromě, bohoslužbou, vyučováním, prováděním úkonů a zachováváním obřadů.</w:t>
                  </w:r>
                </w:p>
                <w:p w14:paraId="4E322B1D" w14:textId="77777777" w:rsidR="00573F3D" w:rsidRPr="00B616A2" w:rsidRDefault="00573F3D" w:rsidP="00573F3D">
                  <w:pPr>
                    <w:ind w:left="60"/>
                    <w:jc w:val="both"/>
                    <w:rPr>
                      <w:i/>
                      <w:iCs/>
                    </w:rPr>
                  </w:pPr>
                </w:p>
                <w:p w14:paraId="75ACC9F4" w14:textId="77777777" w:rsidR="00573F3D" w:rsidRPr="00B616A2" w:rsidRDefault="00573F3D" w:rsidP="00573F3D">
                  <w:pPr>
                    <w:jc w:val="both"/>
                    <w:rPr>
                      <w:i/>
                      <w:iCs/>
                    </w:rPr>
                  </w:pPr>
                  <w:r>
                    <w:rPr>
                      <w:i/>
                    </w:rPr>
                    <w:t>2. Právo odmítnout vykonávat vojenskou službu z důvodu svědomí se uznává v souladu s vnitrostátními zákony, které upravují výkon tohoto práva.“</w:t>
                  </w:r>
                </w:p>
                <w:p w14:paraId="56E7FA48" w14:textId="77777777" w:rsidR="00573F3D" w:rsidRPr="00BA7FF3" w:rsidRDefault="00573F3D" w:rsidP="00573F3D"/>
              </w:txbxContent>
            </v:textbox>
            <w10:wrap type="square" anchorx="margin"/>
          </v:roundrect>
        </w:pict>
      </w:r>
    </w:p>
    <w:p w14:paraId="159A7F7F" w14:textId="202A7513" w:rsidR="00573F3D" w:rsidRPr="00707DDA" w:rsidRDefault="00573F3D" w:rsidP="00CA5340">
      <w:pPr>
        <w:pStyle w:val="Normlnweb"/>
        <w:jc w:val="right"/>
        <w:rPr>
          <w:rFonts w:ascii="Calibri" w:hAnsi="Calibri" w:cs="Calibri"/>
          <w:b/>
          <w:bCs/>
        </w:rPr>
      </w:pPr>
    </w:p>
    <w:tbl>
      <w:tblPr>
        <w:tblStyle w:val="Mkatabulky"/>
        <w:tblW w:w="0" w:type="auto"/>
        <w:tblLook w:val="04A0" w:firstRow="1" w:lastRow="0" w:firstColumn="1" w:lastColumn="0" w:noHBand="0" w:noVBand="1"/>
      </w:tblPr>
      <w:tblGrid>
        <w:gridCol w:w="8494"/>
      </w:tblGrid>
      <w:tr w:rsidR="00CA5340" w:rsidRPr="00707DDA" w14:paraId="7035761C" w14:textId="77777777" w:rsidTr="00CA5340">
        <w:tc>
          <w:tcPr>
            <w:tcW w:w="8494" w:type="dxa"/>
          </w:tcPr>
          <w:p w14:paraId="02577523" w14:textId="77777777" w:rsidR="00CA5340" w:rsidRPr="00707DDA" w:rsidRDefault="00CA5340">
            <w:pPr>
              <w:rPr>
                <w:rFonts w:ascii="Calibri" w:hAnsi="Calibri" w:cs="Calibri"/>
                <w:b/>
                <w:bCs/>
              </w:rPr>
            </w:pPr>
            <w:r>
              <w:rPr>
                <w:b/>
              </w:rPr>
              <w:t>Obsah</w:t>
            </w:r>
            <w:r w:rsidR="00D56DD0">
              <w:rPr>
                <w:b/>
              </w:rPr>
              <w:t xml:space="preserve"> a </w:t>
            </w:r>
            <w:r>
              <w:rPr>
                <w:b/>
              </w:rPr>
              <w:t xml:space="preserve">působnost článku </w:t>
            </w:r>
          </w:p>
        </w:tc>
      </w:tr>
      <w:tr w:rsidR="00CA5340" w:rsidRPr="00707DDA" w14:paraId="5E1031D4" w14:textId="77777777" w:rsidTr="00CA5340">
        <w:tc>
          <w:tcPr>
            <w:tcW w:w="8494" w:type="dxa"/>
          </w:tcPr>
          <w:p w14:paraId="7A5D2C81" w14:textId="77777777" w:rsidR="00573F3D" w:rsidRDefault="00573F3D" w:rsidP="007E3457">
            <w:pPr>
              <w:jc w:val="both"/>
              <w:rPr>
                <w:b/>
              </w:rPr>
            </w:pPr>
          </w:p>
          <w:p w14:paraId="6FC03188" w14:textId="33BD25BA" w:rsidR="00170954" w:rsidRDefault="00EC2967" w:rsidP="007E3457">
            <w:pPr>
              <w:jc w:val="both"/>
            </w:pPr>
            <w:r>
              <w:rPr>
                <w:b/>
              </w:rPr>
              <w:t>Obecný výklad</w:t>
            </w:r>
            <w:r>
              <w:t>:</w:t>
            </w:r>
          </w:p>
          <w:p w14:paraId="3B39301C" w14:textId="77777777" w:rsidR="00F61506" w:rsidRPr="007E3457" w:rsidRDefault="00F61506" w:rsidP="007E3457">
            <w:pPr>
              <w:jc w:val="both"/>
            </w:pPr>
          </w:p>
          <w:p w14:paraId="1BF765D6" w14:textId="77777777" w:rsidR="004C2E62" w:rsidRDefault="00510ABF" w:rsidP="004C2E62">
            <w:pPr>
              <w:jc w:val="both"/>
            </w:pPr>
            <w:r>
              <w:t>Unijní normotvorba se odkázala na společné ústavní tradice členských států jako na obecné zásady evropského práva. Mezi práva vyplývající</w:t>
            </w:r>
            <w:r w:rsidR="00D56DD0">
              <w:t xml:space="preserve"> z </w:t>
            </w:r>
            <w:r>
              <w:t>těchto společných tradic, jež byla výslovně potvrzena</w:t>
            </w:r>
            <w:r w:rsidR="00D56DD0">
              <w:t xml:space="preserve"> v </w:t>
            </w:r>
            <w:r>
              <w:t>Listině základních práv Evropské unie, patří právo na svobodu svědomí</w:t>
            </w:r>
            <w:r w:rsidR="00D56DD0">
              <w:t xml:space="preserve"> a </w:t>
            </w:r>
            <w:r>
              <w:t>náboženského vyznání zakotvené</w:t>
            </w:r>
            <w:r w:rsidR="00D56DD0">
              <w:t xml:space="preserve"> v </w:t>
            </w:r>
            <w:r w:rsidR="008772F9">
              <w:t>čl. </w:t>
            </w:r>
            <w:r>
              <w:t>10 odst. 1 Listiny.</w:t>
            </w:r>
            <w:r w:rsidR="00D56DD0">
              <w:t xml:space="preserve"> V </w:t>
            </w:r>
            <w:r>
              <w:t>souladu</w:t>
            </w:r>
            <w:r w:rsidR="00D56DD0">
              <w:t xml:space="preserve"> s </w:t>
            </w:r>
            <w:r>
              <w:t>tímto ustanovením zahrnuje toto právo svobodu změnit své náboženské vyznání nebo přesvědčení, jakož</w:t>
            </w:r>
            <w:r w:rsidR="00D56DD0">
              <w:t xml:space="preserve"> i </w:t>
            </w:r>
            <w:r>
              <w:t>svobodu projevovat své náboženské vyznání nebo přesvědčení sám nebo společně</w:t>
            </w:r>
            <w:r w:rsidR="00D56DD0">
              <w:t xml:space="preserve"> s </w:t>
            </w:r>
            <w:r>
              <w:t>jinými, ať veřejně nebo soukromě, bohoslužbou, vyučováním, prováděním úkonů</w:t>
            </w:r>
            <w:r w:rsidR="00D56DD0">
              <w:t xml:space="preserve"> a </w:t>
            </w:r>
            <w:r>
              <w:t>zachováváním obřadů. Listina používá pojem „náboženské vyznání“</w:t>
            </w:r>
            <w:r w:rsidR="00D56DD0">
              <w:t xml:space="preserve"> v </w:t>
            </w:r>
            <w:r>
              <w:t>širokém významu, kdy do něj zahrnuje</w:t>
            </w:r>
            <w:r w:rsidR="00D56DD0">
              <w:t xml:space="preserve"> i </w:t>
            </w:r>
            <w:r>
              <w:t xml:space="preserve">svobodu lidí své náboženské vyznání projevovat. </w:t>
            </w:r>
          </w:p>
          <w:p w14:paraId="7D0A770A" w14:textId="77777777" w:rsidR="003D69CC" w:rsidRDefault="003D69CC" w:rsidP="007E3457">
            <w:pPr>
              <w:jc w:val="both"/>
            </w:pPr>
          </w:p>
          <w:p w14:paraId="1585B299" w14:textId="77777777" w:rsidR="004C2E62" w:rsidRDefault="004C2E62" w:rsidP="004C2E62">
            <w:pPr>
              <w:jc w:val="both"/>
            </w:pPr>
            <w:r>
              <w:t>Lze předpokládat, že unijní normotvorba uplatnila stejný přístup při schvalování směrnice 2000/78/ES,</w:t>
            </w:r>
            <w:r w:rsidR="00D56DD0">
              <w:t xml:space="preserve"> a </w:t>
            </w:r>
            <w:r>
              <w:t>proto by měl být pojem „náboženského vyznání“</w:t>
            </w:r>
            <w:r w:rsidR="00D56DD0">
              <w:t xml:space="preserve"> v </w:t>
            </w:r>
            <w:r>
              <w:t>článku 1 této směrnice vykládán tak, že pokrývá jak vnitřní svět, tedy vnitřní prožívání víry, tak vnější svět, tedy projevování náboženského vyznání na veřejnosti.</w:t>
            </w:r>
          </w:p>
          <w:p w14:paraId="452143B7" w14:textId="77777777" w:rsidR="00191A81" w:rsidRDefault="00191A81" w:rsidP="00191A81">
            <w:pPr>
              <w:jc w:val="both"/>
              <w:rPr>
                <w:color w:val="333333"/>
                <w:sz w:val="27"/>
                <w:szCs w:val="27"/>
                <w:shd w:val="clear" w:color="auto" w:fill="FFFFFF"/>
              </w:rPr>
            </w:pPr>
          </w:p>
          <w:p w14:paraId="282F9CCC" w14:textId="77777777" w:rsidR="00170954" w:rsidRDefault="00191A81" w:rsidP="00FC3B3E">
            <w:pPr>
              <w:jc w:val="both"/>
            </w:pPr>
            <w:r>
              <w:t>Svoboda náboženského vyznání je jedním ze základů demokratické společnosti</w:t>
            </w:r>
            <w:r w:rsidR="00D56DD0">
              <w:t xml:space="preserve"> a </w:t>
            </w:r>
            <w:r>
              <w:t>základním lidským právem. Zásah do práva na svobodu náboženského vyznání může být tak závažný, že</w:t>
            </w:r>
            <w:r w:rsidR="00D56DD0">
              <w:t xml:space="preserve"> s </w:t>
            </w:r>
            <w:r>
              <w:t>ním bude nakládáno stejně jako</w:t>
            </w:r>
            <w:r w:rsidR="00D56DD0">
              <w:t xml:space="preserve"> s </w:t>
            </w:r>
            <w:r>
              <w:t xml:space="preserve">případy podřazenými pod </w:t>
            </w:r>
            <w:r w:rsidR="008772F9">
              <w:t>čl. </w:t>
            </w:r>
            <w:r>
              <w:t>15 odst. 2 EÚLP. Právo zaručené</w:t>
            </w:r>
            <w:r w:rsidR="00D56DD0">
              <w:t xml:space="preserve"> v </w:t>
            </w:r>
            <w:r w:rsidR="008772F9">
              <w:t>čl. </w:t>
            </w:r>
            <w:r>
              <w:t>10 odst. 1 Listiny odpovídá právu zakotvenému</w:t>
            </w:r>
            <w:r w:rsidR="00D56DD0">
              <w:t xml:space="preserve"> v </w:t>
            </w:r>
            <w:r>
              <w:t>článku 9 EÚLP</w:t>
            </w:r>
            <w:r w:rsidR="00D56DD0">
              <w:t xml:space="preserve"> a </w:t>
            </w:r>
            <w:r>
              <w:t>v souladu</w:t>
            </w:r>
            <w:r w:rsidR="00D56DD0">
              <w:t xml:space="preserve"> s </w:t>
            </w:r>
            <w:r w:rsidR="008772F9">
              <w:t>čl. </w:t>
            </w:r>
            <w:r>
              <w:t>52 odst. 3 Listiny má stejný význam</w:t>
            </w:r>
            <w:r w:rsidR="00D56DD0">
              <w:t xml:space="preserve"> a </w:t>
            </w:r>
            <w:r>
              <w:t>dosah.</w:t>
            </w:r>
          </w:p>
          <w:p w14:paraId="459F055E" w14:textId="77777777" w:rsidR="00F854C2" w:rsidRPr="009721C9" w:rsidRDefault="00F854C2" w:rsidP="00FC3B3E">
            <w:pPr>
              <w:jc w:val="both"/>
            </w:pPr>
          </w:p>
          <w:p w14:paraId="009DB707" w14:textId="77777777" w:rsidR="00DD3AE4" w:rsidRDefault="00F854C2" w:rsidP="00DD3AE4">
            <w:pPr>
              <w:jc w:val="both"/>
            </w:pPr>
            <w:r>
              <w:t>Otázek dotýkajících se svobody myšlení</w:t>
            </w:r>
            <w:r w:rsidR="00D56DD0">
              <w:t xml:space="preserve"> a </w:t>
            </w:r>
            <w:r>
              <w:t>náboženského vyznání je</w:t>
            </w:r>
            <w:r w:rsidR="00D56DD0">
              <w:t xml:space="preserve"> v </w:t>
            </w:r>
            <w:r>
              <w:t>působnosti Unie málo, kromě pracovněprávních vztahů,</w:t>
            </w:r>
            <w:r w:rsidR="00D56DD0">
              <w:t xml:space="preserve"> a </w:t>
            </w:r>
            <w:r>
              <w:t>to díky směrnici 2000/78/ES ze dne 27.</w:t>
            </w:r>
            <w:r w:rsidR="00D56DD0">
              <w:t> </w:t>
            </w:r>
            <w:r>
              <w:t>listopadu 2000, jež zavedla všeobecný rámec pro rovné zacházení</w:t>
            </w:r>
            <w:r w:rsidR="00D56DD0">
              <w:t xml:space="preserve"> v </w:t>
            </w:r>
            <w:r>
              <w:t>zaměstnání</w:t>
            </w:r>
            <w:r w:rsidR="00D56DD0">
              <w:t xml:space="preserve"> a </w:t>
            </w:r>
            <w:r>
              <w:t>povolání.</w:t>
            </w:r>
          </w:p>
          <w:p w14:paraId="3D832CC8" w14:textId="77777777" w:rsidR="00A32F08" w:rsidRDefault="00A32F08" w:rsidP="00DD3AE4">
            <w:pPr>
              <w:jc w:val="both"/>
            </w:pPr>
          </w:p>
          <w:p w14:paraId="6C59D90F" w14:textId="77777777" w:rsidR="00F23A1E" w:rsidRPr="003739A6" w:rsidRDefault="00F23A1E" w:rsidP="00DD3AE4">
            <w:pPr>
              <w:jc w:val="both"/>
            </w:pPr>
            <w:r>
              <w:t>Toto ustanovení musí být také použito společně</w:t>
            </w:r>
            <w:r w:rsidR="00D56DD0">
              <w:t xml:space="preserve"> s </w:t>
            </w:r>
            <w:r>
              <w:t>článkem 21 zakazujícím diskriminaci, zejména ve vztahu</w:t>
            </w:r>
            <w:r w:rsidR="00D56DD0">
              <w:t xml:space="preserve"> k </w:t>
            </w:r>
            <w:r>
              <w:t>náboženskému vyznání.</w:t>
            </w:r>
          </w:p>
          <w:p w14:paraId="4DE9090A" w14:textId="77777777" w:rsidR="00F854C2" w:rsidRPr="000B75B7" w:rsidRDefault="00F854C2" w:rsidP="00F854C2">
            <w:pPr>
              <w:rPr>
                <w:lang w:eastAsia="fr-FR"/>
              </w:rPr>
            </w:pPr>
          </w:p>
          <w:p w14:paraId="000C9064" w14:textId="77777777" w:rsidR="00472A1A" w:rsidRDefault="00956943" w:rsidP="00FC3B3E">
            <w:pPr>
              <w:jc w:val="both"/>
            </w:pPr>
            <w:r>
              <w:t>Interní pravidlo vydané zaměstnavatelem zakazující na pracovišti pouze nošení nápadných, rozměrných náboženských symbolů – zejména filozofických či náboženských – může představovat přímou diskriminaci</w:t>
            </w:r>
            <w:r w:rsidR="00D56DD0">
              <w:t xml:space="preserve"> z </w:t>
            </w:r>
            <w:r>
              <w:t xml:space="preserve">důvodu náboženského vyznání či přesvědčení ve smyslu </w:t>
            </w:r>
            <w:r w:rsidR="008772F9">
              <w:t>čl. </w:t>
            </w:r>
            <w:r>
              <w:t>2 odst. 2 písm. a) směrnice 2000/78, je-li toto kritérium neoddělitelně spjaté</w:t>
            </w:r>
            <w:r w:rsidR="00D56DD0">
              <w:t xml:space="preserve"> s </w:t>
            </w:r>
            <w:r>
              <w:t xml:space="preserve">jedním nebo více konkrétními vyznáními či přesvědčeními. </w:t>
            </w:r>
          </w:p>
          <w:p w14:paraId="7D0BF1F0" w14:textId="77777777" w:rsidR="00C64714" w:rsidRDefault="00C64714" w:rsidP="00FC3B3E">
            <w:pPr>
              <w:jc w:val="both"/>
            </w:pPr>
          </w:p>
          <w:p w14:paraId="4E4D8B6F" w14:textId="77777777" w:rsidR="003C07CD" w:rsidRDefault="003C07CD" w:rsidP="00F61506">
            <w:pPr>
              <w:jc w:val="both"/>
            </w:pPr>
            <w:r>
              <w:t>Naopak interní pravidlo vydané zaměstnavatelem zakazující nošení jakýchkoli viditelných symbolů vyznání na pracovišti – zejména filozofických či náboženských – nepředstavuje přímou diskriminaci, neboť se týká jakéhokoli projevu náboženského vyznání bez rozlišování</w:t>
            </w:r>
            <w:r w:rsidR="00D56DD0">
              <w:t xml:space="preserve"> a </w:t>
            </w:r>
            <w:r>
              <w:t>zachází se všemi zaměstnanci podniku stejným způsobem</w:t>
            </w:r>
            <w:r w:rsidR="00D56DD0">
              <w:t xml:space="preserve"> v </w:t>
            </w:r>
            <w:r>
              <w:t>tom, že je obecným</w:t>
            </w:r>
            <w:r w:rsidR="00D56DD0">
              <w:t xml:space="preserve"> a </w:t>
            </w:r>
            <w:r>
              <w:t xml:space="preserve">nerozlišujícím způsobem vyžadován (mimo jiné) neutrální oděv, což nošení takových symbolů brání. </w:t>
            </w:r>
          </w:p>
          <w:p w14:paraId="0FEB038F" w14:textId="77777777" w:rsidR="00C64714" w:rsidRPr="003C07CD" w:rsidRDefault="00C64714" w:rsidP="00F61506">
            <w:pPr>
              <w:jc w:val="both"/>
            </w:pPr>
          </w:p>
          <w:p w14:paraId="45F43D72" w14:textId="77777777" w:rsidR="003C07CD" w:rsidRDefault="003C07CD" w:rsidP="00F61506">
            <w:pPr>
              <w:jc w:val="both"/>
            </w:pPr>
            <w:r>
              <w:t>Jelikož každá osoba může mít své náboženské vyznání nebo náboženské, filozofické nebo spirituální přesvědčení, je-li takové pravidlo uplatňováno všeobecným</w:t>
            </w:r>
            <w:r w:rsidR="00D56DD0">
              <w:t xml:space="preserve"> a </w:t>
            </w:r>
            <w:r>
              <w:t>nerozlišujícím způsobem, skutečně nepředstavuje rozdílné zacházení založené na kritériu, které je neoddělitelně spjato</w:t>
            </w:r>
            <w:r w:rsidR="00D56DD0">
              <w:t xml:space="preserve"> s </w:t>
            </w:r>
            <w:r>
              <w:t xml:space="preserve">náboženskou vírou nebo jiným přesvědčením. </w:t>
            </w:r>
          </w:p>
          <w:p w14:paraId="45E6169B" w14:textId="77777777" w:rsidR="001D1753" w:rsidRPr="003C07CD" w:rsidRDefault="001D1753" w:rsidP="003C07CD"/>
          <w:p w14:paraId="26FE0A22" w14:textId="77777777" w:rsidR="003C07CD" w:rsidRDefault="0055063A" w:rsidP="00F61506">
            <w:pPr>
              <w:jc w:val="both"/>
            </w:pPr>
            <w:r>
              <w:t>Z ustálené rozhodovací praxe Soudu je zjevné, že interní pravidlo vydané zaměstnavatelem zakazující nošení jakýchkoli viditelných symbolů vyznání na pracovišti – zejména filozofických či náboženských – může představovat rozdílné zacházení</w:t>
            </w:r>
            <w:r w:rsidR="00D56DD0">
              <w:t xml:space="preserve"> z </w:t>
            </w:r>
            <w:r>
              <w:t>důvodu náboženského vyznání nebo přesvědčení ve smyslu daného ustanovení, je-li zjištěno, že navenek neutrální povinnost zahrnutá</w:t>
            </w:r>
            <w:r w:rsidR="00D56DD0">
              <w:t xml:space="preserve"> v </w:t>
            </w:r>
            <w:r>
              <w:t>tomto právu fakticky vede</w:t>
            </w:r>
            <w:r w:rsidR="00D56DD0">
              <w:t xml:space="preserve"> k </w:t>
            </w:r>
            <w:r>
              <w:t>tomu, že jsou zvláště znevýhodněny osoby hlásící ke konkrétnímu náboženství nebo vyznání.</w:t>
            </w:r>
          </w:p>
          <w:p w14:paraId="7AD77B50" w14:textId="77777777" w:rsidR="00C64714" w:rsidRPr="003C07CD" w:rsidRDefault="00C64714" w:rsidP="00F61506">
            <w:pPr>
              <w:jc w:val="both"/>
            </w:pPr>
          </w:p>
          <w:p w14:paraId="37A29869" w14:textId="77777777" w:rsidR="003C07CD" w:rsidRPr="003C07CD" w:rsidRDefault="003C07CD" w:rsidP="00F61506">
            <w:pPr>
              <w:jc w:val="both"/>
            </w:pPr>
            <w:r>
              <w:t>V souladu</w:t>
            </w:r>
            <w:r w:rsidR="00D56DD0">
              <w:t xml:space="preserve"> s </w:t>
            </w:r>
            <w:r w:rsidR="008772F9">
              <w:t>čl. </w:t>
            </w:r>
            <w:r>
              <w:t>2 odst. 2 písm. b) bod i) směrnice 2000/78/ES není takové rozdílné zacházení nepřímou diskriminací, je-li objektivně odůvodněno legitimním cílem</w:t>
            </w:r>
            <w:r w:rsidR="00D56DD0">
              <w:t xml:space="preserve"> a </w:t>
            </w:r>
            <w:r>
              <w:t>prostředky</w:t>
            </w:r>
            <w:r w:rsidR="00D56DD0">
              <w:t xml:space="preserve"> k </w:t>
            </w:r>
            <w:r>
              <w:t>dosažení uvedeného cíle jsou přiměřené</w:t>
            </w:r>
            <w:r w:rsidR="00D56DD0">
              <w:t xml:space="preserve"> a </w:t>
            </w:r>
            <w:r>
              <w:t>nezbytné.</w:t>
            </w:r>
          </w:p>
          <w:p w14:paraId="73BDC0CB" w14:textId="77777777" w:rsidR="00C06787" w:rsidRDefault="00C06787" w:rsidP="009721C9">
            <w:pPr>
              <w:jc w:val="both"/>
            </w:pPr>
          </w:p>
          <w:p w14:paraId="519A24FB" w14:textId="77777777" w:rsidR="00561C13" w:rsidRPr="00512533" w:rsidRDefault="00561C13" w:rsidP="00512533">
            <w:pPr>
              <w:jc w:val="both"/>
            </w:pPr>
            <w:r>
              <w:t>Pokud jde</w:t>
            </w:r>
            <w:r w:rsidR="00D56DD0">
              <w:t xml:space="preserve"> o </w:t>
            </w:r>
            <w:r>
              <w:t>podmínku týkající se existence legitimního cíle, je třeba konstatovat, že vůle uplatňovat ve vztazích vůči zákazníkům jak veřejného, tak soukromého sektoru politiku politické, filozofické</w:t>
            </w:r>
            <w:r w:rsidR="00D56DD0">
              <w:t xml:space="preserve"> a </w:t>
            </w:r>
            <w:r>
              <w:t>náboženské neutrality musí být hodnocena jako legitimní. Vůle zaměstnavatele prezentovat vůči zákazníkům neutrální obraz souvisí</w:t>
            </w:r>
            <w:r w:rsidR="00D56DD0">
              <w:t xml:space="preserve"> i </w:t>
            </w:r>
            <w:r>
              <w:t>se svobodou podnikání uznávanou článkem 16 Listiny</w:t>
            </w:r>
            <w:r w:rsidR="00D56DD0">
              <w:t xml:space="preserve"> a </w:t>
            </w:r>
            <w:r>
              <w:t>je</w:t>
            </w:r>
            <w:r w:rsidR="00D56DD0">
              <w:t xml:space="preserve"> v </w:t>
            </w:r>
            <w:r>
              <w:t>zásadě legitimní, zejména pokud zaměstnavatel zahrnuje do sledování tohoto cíle pouze zaměstnance,</w:t>
            </w:r>
            <w:r w:rsidR="00D56DD0">
              <w:t xml:space="preserve"> u </w:t>
            </w:r>
            <w:r>
              <w:t>nichž se vyžaduje kontakt se zákazníky zaměstnavatele.</w:t>
            </w:r>
            <w:bookmarkStart w:id="0" w:name="point39"/>
            <w:r>
              <w:t xml:space="preserve"> </w:t>
            </w:r>
            <w:bookmarkEnd w:id="0"/>
            <w:r>
              <w:t>Výklad spočívající</w:t>
            </w:r>
            <w:r w:rsidR="00D56DD0">
              <w:t xml:space="preserve"> v </w:t>
            </w:r>
            <w:r>
              <w:t xml:space="preserve">tom, že sledování takového cíle umožňuje za určitých podmínek uložení omezení svobody </w:t>
            </w:r>
            <w:r>
              <w:lastRenderedPageBreak/>
              <w:t>náboženského vyznání</w:t>
            </w:r>
            <w:r w:rsidR="00A32F08">
              <w:t>,</w:t>
            </w:r>
            <w:r>
              <w:t xml:space="preserve"> navíc vychází</w:t>
            </w:r>
            <w:r w:rsidR="00D56DD0">
              <w:t xml:space="preserve"> z </w:t>
            </w:r>
            <w:r>
              <w:t xml:space="preserve">judikatury Evropského soudu pro lidská práva na poli článku 9 EÚLP (rozsudek ESLP ze dne 15. ledna 2013, </w:t>
            </w:r>
            <w:proofErr w:type="spellStart"/>
            <w:r>
              <w:rPr>
                <w:i/>
                <w:iCs/>
              </w:rPr>
              <w:t>Eweida</w:t>
            </w:r>
            <w:proofErr w:type="spellEnd"/>
            <w:r w:rsidR="00D56DD0">
              <w:rPr>
                <w:i/>
                <w:iCs/>
              </w:rPr>
              <w:t xml:space="preserve"> a </w:t>
            </w:r>
            <w:r>
              <w:rPr>
                <w:i/>
                <w:iCs/>
              </w:rPr>
              <w:t>ostatní proti Spojenému království</w:t>
            </w:r>
            <w:r>
              <w:t>, </w:t>
            </w:r>
            <w:proofErr w:type="gramStart"/>
            <w:r>
              <w:t>CE:ECHR</w:t>
            </w:r>
            <w:proofErr w:type="gramEnd"/>
            <w:r>
              <w:t>:2013:0115JUD004842010, bod 94).</w:t>
            </w:r>
          </w:p>
          <w:p w14:paraId="21898721" w14:textId="77777777" w:rsidR="003046D4" w:rsidRPr="003A78B8" w:rsidRDefault="003046D4" w:rsidP="009721C9">
            <w:pPr>
              <w:jc w:val="both"/>
              <w:rPr>
                <w:rFonts w:ascii="Open Sans" w:eastAsia="Times New Roman" w:hAnsi="Open Sans" w:cs="Open Sans"/>
                <w:color w:val="000000"/>
                <w:kern w:val="0"/>
                <w:sz w:val="18"/>
                <w:szCs w:val="18"/>
                <w:lang w:eastAsia="fr-FR"/>
              </w:rPr>
            </w:pPr>
          </w:p>
          <w:p w14:paraId="3411BD94" w14:textId="77777777" w:rsidR="003C07CD" w:rsidRDefault="003C07CD" w:rsidP="009721C9">
            <w:pPr>
              <w:jc w:val="both"/>
            </w:pPr>
          </w:p>
          <w:p w14:paraId="27A2A046" w14:textId="77777777" w:rsidR="00350DE7" w:rsidRPr="000B4713" w:rsidRDefault="00200B81" w:rsidP="00350DE7">
            <w:pPr>
              <w:rPr>
                <w:rFonts w:cstheme="minorHAnsi"/>
                <w:b/>
                <w:bCs/>
              </w:rPr>
            </w:pPr>
            <w:r>
              <w:rPr>
                <w:b/>
              </w:rPr>
              <w:t>Příklad: Judikatura týkající se náboženského vyznání</w:t>
            </w:r>
            <w:r w:rsidR="00D56DD0">
              <w:rPr>
                <w:b/>
              </w:rPr>
              <w:t xml:space="preserve"> a </w:t>
            </w:r>
            <w:r>
              <w:rPr>
                <w:b/>
              </w:rPr>
              <w:t>pracovních vztahů</w:t>
            </w:r>
          </w:p>
          <w:p w14:paraId="24EB582D" w14:textId="77777777" w:rsidR="00350DE7" w:rsidRPr="003A78B8" w:rsidRDefault="00350DE7" w:rsidP="00350DE7">
            <w:pPr>
              <w:rPr>
                <w:rFonts w:cstheme="minorHAnsi"/>
              </w:rPr>
            </w:pPr>
          </w:p>
          <w:p w14:paraId="73A27968" w14:textId="77777777" w:rsidR="00350DE7" w:rsidRPr="00B863C6" w:rsidRDefault="00350DE7" w:rsidP="00350DE7">
            <w:pPr>
              <w:jc w:val="both"/>
              <w:rPr>
                <w:rFonts w:cstheme="minorHAnsi"/>
                <w:b/>
                <w:bCs/>
              </w:rPr>
            </w:pPr>
            <w:r>
              <w:rPr>
                <w:b/>
              </w:rPr>
              <w:t>Rozsudek SDEU (velký senát), C-804/18</w:t>
            </w:r>
            <w:r w:rsidR="00D56DD0">
              <w:rPr>
                <w:b/>
              </w:rPr>
              <w:t xml:space="preserve"> a </w:t>
            </w:r>
            <w:r>
              <w:rPr>
                <w:b/>
              </w:rPr>
              <w:t xml:space="preserve">C-341/19, 25. února 2021, </w:t>
            </w:r>
            <w:r w:rsidRPr="00C64714">
              <w:rPr>
                <w:b/>
                <w:i/>
              </w:rPr>
              <w:t>IX v. WABE</w:t>
            </w:r>
            <w:r w:rsidR="00D56DD0">
              <w:rPr>
                <w:b/>
                <w:i/>
              </w:rPr>
              <w:t xml:space="preserve"> </w:t>
            </w:r>
            <w:r w:rsidR="00D56DD0" w:rsidRPr="00C64714">
              <w:rPr>
                <w:b/>
                <w:i/>
              </w:rPr>
              <w:t>a</w:t>
            </w:r>
            <w:r w:rsidR="00D56DD0">
              <w:rPr>
                <w:b/>
                <w:i/>
              </w:rPr>
              <w:t> </w:t>
            </w:r>
            <w:r w:rsidRPr="00C64714">
              <w:rPr>
                <w:b/>
                <w:i/>
              </w:rPr>
              <w:t xml:space="preserve">MH Müller </w:t>
            </w:r>
            <w:proofErr w:type="spellStart"/>
            <w:r w:rsidRPr="00C64714">
              <w:rPr>
                <w:b/>
                <w:i/>
              </w:rPr>
              <w:t>Handels</w:t>
            </w:r>
            <w:proofErr w:type="spellEnd"/>
            <w:r w:rsidRPr="00C64714">
              <w:rPr>
                <w:b/>
                <w:i/>
              </w:rPr>
              <w:t xml:space="preserve"> </w:t>
            </w:r>
            <w:proofErr w:type="spellStart"/>
            <w:r w:rsidRPr="00C64714">
              <w:rPr>
                <w:b/>
                <w:i/>
              </w:rPr>
              <w:t>GmbH</w:t>
            </w:r>
            <w:proofErr w:type="spellEnd"/>
            <w:r w:rsidRPr="00C64714">
              <w:rPr>
                <w:b/>
                <w:i/>
              </w:rPr>
              <w:t xml:space="preserve"> v. MJ</w:t>
            </w:r>
          </w:p>
          <w:p w14:paraId="3B187A6D" w14:textId="77777777" w:rsidR="00350DE7" w:rsidRDefault="00F52C40" w:rsidP="00350DE7">
            <w:hyperlink r:id="rId10" w:history="1">
              <w:r>
                <w:rPr>
                  <w:color w:val="0000FF"/>
                  <w:u w:val="single"/>
                </w:rPr>
                <w:t>EUR-</w:t>
              </w:r>
              <w:proofErr w:type="gramStart"/>
              <w:r>
                <w:rPr>
                  <w:color w:val="0000FF"/>
                  <w:u w:val="single"/>
                </w:rPr>
                <w:t>Lex - 62018CA0804</w:t>
              </w:r>
              <w:proofErr w:type="gramEnd"/>
              <w:r>
                <w:rPr>
                  <w:color w:val="0000FF"/>
                  <w:u w:val="single"/>
                </w:rPr>
                <w:t xml:space="preserve"> - </w:t>
              </w:r>
              <w:proofErr w:type="gramStart"/>
              <w:r>
                <w:rPr>
                  <w:color w:val="0000FF"/>
                  <w:u w:val="single"/>
                </w:rPr>
                <w:t>EN - EUR</w:t>
              </w:r>
              <w:proofErr w:type="gramEnd"/>
              <w:r>
                <w:rPr>
                  <w:color w:val="0000FF"/>
                  <w:u w:val="single"/>
                </w:rPr>
                <w:t>-Lex (europa.eu)</w:t>
              </w:r>
            </w:hyperlink>
          </w:p>
          <w:p w14:paraId="351D73F3" w14:textId="77777777" w:rsidR="00FC3B3E" w:rsidRDefault="00FC3B3E" w:rsidP="00350DE7">
            <w:pPr>
              <w:rPr>
                <w:rFonts w:cstheme="minorHAnsi"/>
              </w:rPr>
            </w:pPr>
          </w:p>
          <w:p w14:paraId="45F60EA3" w14:textId="77777777" w:rsidR="00131A42" w:rsidRDefault="0042563B" w:rsidP="00350DE7">
            <w:pPr>
              <w:rPr>
                <w:rFonts w:cstheme="minorHAnsi"/>
              </w:rPr>
            </w:pPr>
            <w:r>
              <w:rPr>
                <w:i/>
                <w:iCs/>
              </w:rPr>
              <w:t>Shrnutí:</w:t>
            </w:r>
          </w:p>
          <w:p w14:paraId="0B9C697F" w14:textId="77777777" w:rsidR="0042563B" w:rsidRPr="00FC2D5E" w:rsidRDefault="0042563B" w:rsidP="00350DE7">
            <w:pPr>
              <w:rPr>
                <w:rFonts w:cstheme="minorHAnsi"/>
              </w:rPr>
            </w:pPr>
          </w:p>
          <w:p w14:paraId="0A87DE4B" w14:textId="77777777" w:rsidR="00350DE7" w:rsidRPr="00FC2D5E" w:rsidRDefault="00350DE7" w:rsidP="00350DE7">
            <w:pPr>
              <w:shd w:val="clear" w:color="auto" w:fill="FEFEFE"/>
              <w:jc w:val="both"/>
              <w:rPr>
                <w:rFonts w:cstheme="minorHAnsi"/>
                <w:color w:val="0A0A0A"/>
                <w:shd w:val="clear" w:color="auto" w:fill="FEFEFE"/>
              </w:rPr>
            </w:pPr>
            <w:r>
              <w:rPr>
                <w:color w:val="0A0A0A"/>
                <w:shd w:val="clear" w:color="auto" w:fill="FEFEFE"/>
              </w:rPr>
              <w:t>Tyto žádosti</w:t>
            </w:r>
            <w:r w:rsidR="00D56DD0">
              <w:rPr>
                <w:color w:val="0A0A0A"/>
                <w:shd w:val="clear" w:color="auto" w:fill="FEFEFE"/>
              </w:rPr>
              <w:t xml:space="preserve"> o </w:t>
            </w:r>
            <w:r>
              <w:rPr>
                <w:color w:val="0A0A0A"/>
                <w:shd w:val="clear" w:color="auto" w:fill="FEFEFE"/>
              </w:rPr>
              <w:t>rozhodnutí</w:t>
            </w:r>
            <w:r w:rsidR="00D56DD0">
              <w:rPr>
                <w:color w:val="0A0A0A"/>
                <w:shd w:val="clear" w:color="auto" w:fill="FEFEFE"/>
              </w:rPr>
              <w:t xml:space="preserve"> o </w:t>
            </w:r>
            <w:r>
              <w:rPr>
                <w:color w:val="0A0A0A"/>
                <w:shd w:val="clear" w:color="auto" w:fill="FEFEFE"/>
              </w:rPr>
              <w:t>předběžné otázce se týkají výkladu směrnice Rady 2000/78/ES ze dne 27. listopadu 2000, kterou se stanoví obecný rámec pro rovné zacházení</w:t>
            </w:r>
            <w:r w:rsidR="00D56DD0">
              <w:rPr>
                <w:color w:val="0A0A0A"/>
                <w:shd w:val="clear" w:color="auto" w:fill="FEFEFE"/>
              </w:rPr>
              <w:t xml:space="preserve"> v </w:t>
            </w:r>
            <w:r>
              <w:rPr>
                <w:color w:val="0A0A0A"/>
                <w:shd w:val="clear" w:color="auto" w:fill="FEFEFE"/>
              </w:rPr>
              <w:t>zaměstnání</w:t>
            </w:r>
            <w:r w:rsidR="00D56DD0">
              <w:rPr>
                <w:color w:val="0A0A0A"/>
                <w:shd w:val="clear" w:color="auto" w:fill="FEFEFE"/>
              </w:rPr>
              <w:t xml:space="preserve"> a </w:t>
            </w:r>
            <w:r>
              <w:rPr>
                <w:color w:val="0A0A0A"/>
                <w:shd w:val="clear" w:color="auto" w:fill="FEFEFE"/>
              </w:rPr>
              <w:t>povolání</w:t>
            </w:r>
            <w:r w:rsidR="00D56DD0">
              <w:rPr>
                <w:color w:val="0A0A0A"/>
                <w:shd w:val="clear" w:color="auto" w:fill="FEFEFE"/>
              </w:rPr>
              <w:t xml:space="preserve"> a </w:t>
            </w:r>
            <w:r>
              <w:rPr>
                <w:color w:val="0A0A0A"/>
                <w:shd w:val="clear" w:color="auto" w:fill="FEFEFE"/>
              </w:rPr>
              <w:t>článku 10</w:t>
            </w:r>
            <w:r w:rsidR="00D56DD0">
              <w:rPr>
                <w:color w:val="0A0A0A"/>
                <w:shd w:val="clear" w:color="auto" w:fill="FEFEFE"/>
              </w:rPr>
              <w:t xml:space="preserve"> a </w:t>
            </w:r>
            <w:r>
              <w:rPr>
                <w:color w:val="0A0A0A"/>
                <w:shd w:val="clear" w:color="auto" w:fill="FEFEFE"/>
              </w:rPr>
              <w:t>16 Listiny základních práv Evropské unie.</w:t>
            </w:r>
          </w:p>
          <w:p w14:paraId="19679CB8" w14:textId="77777777" w:rsidR="00350DE7" w:rsidRPr="00FC2D5E" w:rsidRDefault="00350DE7" w:rsidP="00350DE7">
            <w:pPr>
              <w:shd w:val="clear" w:color="auto" w:fill="FEFEFE"/>
              <w:jc w:val="both"/>
              <w:rPr>
                <w:rFonts w:eastAsia="Times New Roman" w:cstheme="minorHAnsi"/>
                <w:color w:val="343D55"/>
                <w:kern w:val="0"/>
                <w:lang w:eastAsia="fr-FR"/>
              </w:rPr>
            </w:pPr>
          </w:p>
          <w:p w14:paraId="36F3FE89" w14:textId="77777777" w:rsidR="00350DE7" w:rsidRPr="00A56354" w:rsidRDefault="00350DE7" w:rsidP="00350DE7">
            <w:pPr>
              <w:jc w:val="both"/>
              <w:rPr>
                <w:rFonts w:cstheme="minorHAnsi"/>
              </w:rPr>
            </w:pPr>
            <w:r>
              <w:t>Zákaz nošení jakékoli viditelné formy projevu politického, filozofického nebo náboženského vyznání na pracovišti může být odůvodněno potřebou neutrální prezentace zaměstnavatele vůči zákazníkům nebo předcházení společenským konfliktům.</w:t>
            </w:r>
          </w:p>
          <w:p w14:paraId="49789061" w14:textId="77777777" w:rsidR="00350DE7" w:rsidRPr="00A56354" w:rsidRDefault="00350DE7" w:rsidP="00350DE7">
            <w:pPr>
              <w:jc w:val="both"/>
              <w:rPr>
                <w:rFonts w:cstheme="minorHAnsi"/>
              </w:rPr>
            </w:pPr>
            <w:r>
              <w:t>Takové odůvodnění však musí odpovídat skutečné potřebě zaměstnavatele</w:t>
            </w:r>
            <w:r w:rsidR="00D56DD0">
              <w:t xml:space="preserve"> a </w:t>
            </w:r>
            <w:r>
              <w:t>zohlednit</w:t>
            </w:r>
            <w:r w:rsidR="00D56DD0">
              <w:t xml:space="preserve"> v </w:t>
            </w:r>
            <w:r>
              <w:t>rámci slaďování jednotlivých dotčených práv</w:t>
            </w:r>
            <w:r w:rsidR="00D56DD0">
              <w:t xml:space="preserve"> a </w:t>
            </w:r>
            <w:r>
              <w:t>zájmů konkrétní kontext každého členského státu,</w:t>
            </w:r>
            <w:r w:rsidR="00D56DD0">
              <w:t xml:space="preserve"> a </w:t>
            </w:r>
            <w:r>
              <w:t>zejména případná příznivější vnitrostátní právní ustanovení na ochranu svobody náboženského vyznání.</w:t>
            </w:r>
          </w:p>
          <w:p w14:paraId="3147C570" w14:textId="77777777" w:rsidR="00350DE7" w:rsidRPr="004A6ACD" w:rsidRDefault="00350DE7" w:rsidP="00350DE7">
            <w:pPr>
              <w:shd w:val="clear" w:color="auto" w:fill="FEFEFE"/>
              <w:ind w:left="720"/>
              <w:rPr>
                <w:rFonts w:eastAsia="Times New Roman" w:cstheme="minorHAnsi"/>
                <w:color w:val="343D55"/>
                <w:kern w:val="0"/>
                <w:lang w:eastAsia="fr-FR"/>
              </w:rPr>
            </w:pPr>
          </w:p>
          <w:p w14:paraId="296E1841" w14:textId="77777777" w:rsidR="00350DE7" w:rsidRDefault="00350DE7" w:rsidP="00350DE7">
            <w:pPr>
              <w:rPr>
                <w:rFonts w:cstheme="minorHAnsi"/>
                <w:i/>
                <w:iCs/>
              </w:rPr>
            </w:pPr>
            <w:r>
              <w:rPr>
                <w:i/>
              </w:rPr>
              <w:t>Hlavní skutkové okolnosti:</w:t>
            </w:r>
          </w:p>
          <w:p w14:paraId="7FA542C9" w14:textId="77777777" w:rsidR="00ED4EC6" w:rsidRPr="004A6ACD" w:rsidRDefault="00ED4EC6" w:rsidP="00350DE7">
            <w:pPr>
              <w:rPr>
                <w:rFonts w:cstheme="minorHAnsi"/>
                <w:i/>
                <w:iCs/>
                <w:lang w:eastAsia="fr-FR"/>
              </w:rPr>
            </w:pPr>
          </w:p>
          <w:p w14:paraId="02001CAC" w14:textId="77777777" w:rsidR="00350DE7" w:rsidRPr="00A56354" w:rsidRDefault="00350DE7" w:rsidP="00350DE7">
            <w:pPr>
              <w:spacing w:after="240"/>
              <w:jc w:val="both"/>
              <w:rPr>
                <w:rFonts w:eastAsia="Times New Roman" w:cstheme="minorHAnsi"/>
                <w:color w:val="000000"/>
                <w:kern w:val="0"/>
              </w:rPr>
            </w:pPr>
            <w:r>
              <w:rPr>
                <w:color w:val="000000"/>
              </w:rPr>
              <w:t>IX</w:t>
            </w:r>
            <w:r w:rsidR="00D56DD0">
              <w:rPr>
                <w:color w:val="000000"/>
              </w:rPr>
              <w:t xml:space="preserve"> a </w:t>
            </w:r>
            <w:r>
              <w:rPr>
                <w:color w:val="000000"/>
              </w:rPr>
              <w:t xml:space="preserve">MJ, zaměstnané ve společnostech řídících se německým právem, první jmenovaná jako specializovaná vychovatelka (věc C-804/18 </w:t>
            </w:r>
            <w:proofErr w:type="spellStart"/>
            <w:r>
              <w:rPr>
                <w:color w:val="000000"/>
              </w:rPr>
              <w:t>Wabe</w:t>
            </w:r>
            <w:proofErr w:type="spellEnd"/>
            <w:r>
              <w:rPr>
                <w:color w:val="000000"/>
              </w:rPr>
              <w:t>)</w:t>
            </w:r>
            <w:r w:rsidR="00D56DD0">
              <w:rPr>
                <w:color w:val="000000"/>
              </w:rPr>
              <w:t xml:space="preserve"> a </w:t>
            </w:r>
            <w:r>
              <w:rPr>
                <w:color w:val="000000"/>
              </w:rPr>
              <w:t>druhá jmenovaná jako asistentka prodeje</w:t>
            </w:r>
            <w:r w:rsidR="00D56DD0">
              <w:rPr>
                <w:color w:val="000000"/>
              </w:rPr>
              <w:t xml:space="preserve"> a </w:t>
            </w:r>
            <w:r>
              <w:rPr>
                <w:color w:val="000000"/>
              </w:rPr>
              <w:t>pokladní (věc C-341/19 MJ), se na pracoviště dostavily</w:t>
            </w:r>
            <w:r w:rsidR="00D56DD0">
              <w:rPr>
                <w:color w:val="000000"/>
              </w:rPr>
              <w:t xml:space="preserve"> v </w:t>
            </w:r>
            <w:r>
              <w:rPr>
                <w:color w:val="000000"/>
              </w:rPr>
              <w:t>muslimských šátcích.</w:t>
            </w:r>
          </w:p>
          <w:p w14:paraId="5958AB81" w14:textId="77777777" w:rsidR="00350DE7" w:rsidRPr="00A56354" w:rsidRDefault="00350DE7" w:rsidP="00350DE7">
            <w:pPr>
              <w:spacing w:after="240"/>
              <w:jc w:val="both"/>
              <w:rPr>
                <w:rFonts w:eastAsia="Times New Roman" w:cstheme="minorHAnsi"/>
                <w:color w:val="000000"/>
                <w:kern w:val="0"/>
              </w:rPr>
            </w:pPr>
            <w:r>
              <w:rPr>
                <w:color w:val="000000"/>
              </w:rPr>
              <w:t>WABE, zaměstnavatel IX, na věc nahlížel tak, že nošení takového šátku neodpovídá politice politické, filozofické</w:t>
            </w:r>
            <w:r w:rsidR="00D56DD0">
              <w:rPr>
                <w:color w:val="000000"/>
              </w:rPr>
              <w:t xml:space="preserve"> a </w:t>
            </w:r>
            <w:r>
              <w:rPr>
                <w:color w:val="000000"/>
              </w:rPr>
              <w:t>náboženské neutrality sledované vůči rodičům, dětem</w:t>
            </w:r>
            <w:r w:rsidR="00D56DD0">
              <w:rPr>
                <w:color w:val="000000"/>
              </w:rPr>
              <w:t xml:space="preserve"> a </w:t>
            </w:r>
            <w:r>
              <w:rPr>
                <w:color w:val="000000"/>
              </w:rPr>
              <w:t>třetím osobám, vyzval ji</w:t>
            </w:r>
            <w:r w:rsidR="00D56DD0">
              <w:rPr>
                <w:color w:val="000000"/>
              </w:rPr>
              <w:t xml:space="preserve"> k </w:t>
            </w:r>
            <w:r>
              <w:rPr>
                <w:color w:val="000000"/>
              </w:rPr>
              <w:t>odložení šátku</w:t>
            </w:r>
            <w:r w:rsidR="00D56DD0">
              <w:rPr>
                <w:color w:val="000000"/>
              </w:rPr>
              <w:t xml:space="preserve"> a </w:t>
            </w:r>
            <w:r>
              <w:rPr>
                <w:color w:val="000000"/>
              </w:rPr>
              <w:t xml:space="preserve">udělil jí napomenutí. Zaměstnavatel MJ, společnost MH Müller </w:t>
            </w:r>
            <w:proofErr w:type="spellStart"/>
            <w:r>
              <w:rPr>
                <w:color w:val="000000"/>
              </w:rPr>
              <w:t>Handels</w:t>
            </w:r>
            <w:proofErr w:type="spellEnd"/>
            <w:r>
              <w:rPr>
                <w:color w:val="000000"/>
              </w:rPr>
              <w:t xml:space="preserve"> </w:t>
            </w:r>
            <w:proofErr w:type="spellStart"/>
            <w:r>
              <w:rPr>
                <w:color w:val="000000"/>
              </w:rPr>
              <w:t>GmbH</w:t>
            </w:r>
            <w:proofErr w:type="spellEnd"/>
            <w:r>
              <w:rPr>
                <w:color w:val="000000"/>
              </w:rPr>
              <w:t>, poté, co MJ odmítla odložit na pracovišti šátek, ji nejprve přidělil na jiné pracovní místo, které jí umožňovalo uvedený šátek nosit,</w:t>
            </w:r>
            <w:r w:rsidR="00D56DD0">
              <w:rPr>
                <w:color w:val="000000"/>
              </w:rPr>
              <w:t xml:space="preserve"> a </w:t>
            </w:r>
            <w:r>
              <w:rPr>
                <w:color w:val="000000"/>
              </w:rPr>
              <w:t>později poté, co byla poslána domů, dostala pokyn, aby se dostavila na pracoviště bez nápadných</w:t>
            </w:r>
            <w:r w:rsidR="00D56DD0">
              <w:rPr>
                <w:color w:val="000000"/>
              </w:rPr>
              <w:t xml:space="preserve"> a </w:t>
            </w:r>
            <w:r>
              <w:rPr>
                <w:color w:val="000000"/>
              </w:rPr>
              <w:t>rozměrných symbolů jakéhokoliv politického, filozofického nebo náboženského přesvědčení.</w:t>
            </w:r>
          </w:p>
          <w:p w14:paraId="39B85679" w14:textId="77777777" w:rsidR="00350DE7" w:rsidRPr="00FC2D5E" w:rsidRDefault="00350DE7" w:rsidP="00350DE7">
            <w:pPr>
              <w:spacing w:after="240"/>
              <w:jc w:val="both"/>
              <w:rPr>
                <w:rFonts w:eastAsia="Times New Roman" w:cstheme="minorHAnsi"/>
                <w:color w:val="000000"/>
                <w:kern w:val="0"/>
              </w:rPr>
            </w:pPr>
            <w:r>
              <w:rPr>
                <w:color w:val="000000"/>
              </w:rPr>
              <w:t>IX</w:t>
            </w:r>
            <w:r w:rsidR="00D56DD0">
              <w:rPr>
                <w:color w:val="000000"/>
              </w:rPr>
              <w:t xml:space="preserve"> a </w:t>
            </w:r>
            <w:r>
              <w:rPr>
                <w:color w:val="000000"/>
              </w:rPr>
              <w:t>MJ podaly žalobu</w:t>
            </w:r>
            <w:r w:rsidR="00D56DD0">
              <w:rPr>
                <w:color w:val="000000"/>
              </w:rPr>
              <w:t xml:space="preserve"> u </w:t>
            </w:r>
            <w:r>
              <w:rPr>
                <w:color w:val="000000"/>
              </w:rPr>
              <w:t>německého pracovního soudu.</w:t>
            </w:r>
          </w:p>
          <w:p w14:paraId="6FDA2BEF" w14:textId="77777777" w:rsidR="00350DE7" w:rsidRPr="00A56354" w:rsidRDefault="00350DE7" w:rsidP="00350DE7">
            <w:pPr>
              <w:spacing w:after="240"/>
              <w:jc w:val="both"/>
              <w:rPr>
                <w:rFonts w:eastAsia="Times New Roman" w:cstheme="minorHAnsi"/>
                <w:color w:val="000000"/>
                <w:kern w:val="0"/>
              </w:rPr>
            </w:pPr>
            <w:r>
              <w:rPr>
                <w:color w:val="000000"/>
              </w:rPr>
              <w:t>Za této situace se dané dva soudy rozhodly požádat Soudní dvůr</w:t>
            </w:r>
            <w:r w:rsidR="00D56DD0">
              <w:rPr>
                <w:color w:val="000000"/>
              </w:rPr>
              <w:t xml:space="preserve"> o </w:t>
            </w:r>
            <w:r>
              <w:rPr>
                <w:color w:val="000000"/>
              </w:rPr>
              <w:t>rozhodnutí</w:t>
            </w:r>
            <w:r w:rsidR="00D56DD0">
              <w:rPr>
                <w:color w:val="000000"/>
              </w:rPr>
              <w:t xml:space="preserve"> o </w:t>
            </w:r>
            <w:r>
              <w:rPr>
                <w:color w:val="000000"/>
              </w:rPr>
              <w:t xml:space="preserve">předběžné otázce týkající se výkladu směrnice 2000/78/ES. Soudní dvůr byl mj. dotázán, zda interní pravidlo podniku zakazující zaměstnancům nošení jakýchkoli </w:t>
            </w:r>
            <w:r>
              <w:rPr>
                <w:color w:val="000000"/>
              </w:rPr>
              <w:lastRenderedPageBreak/>
              <w:t>viditelných symbolů politického, filozofického či náboženského vyznání, představuje ve vztahu</w:t>
            </w:r>
            <w:r w:rsidR="00D56DD0">
              <w:rPr>
                <w:color w:val="000000"/>
              </w:rPr>
              <w:t xml:space="preserve"> k </w:t>
            </w:r>
            <w:r>
              <w:rPr>
                <w:color w:val="000000"/>
              </w:rPr>
              <w:t>zaměstnancům dodržujícím určitá pravidla oblékání podle náboženského vyznání přímou nebo nepřímou diskriminaci</w:t>
            </w:r>
            <w:r w:rsidR="00D56DD0">
              <w:rPr>
                <w:color w:val="000000"/>
              </w:rPr>
              <w:t xml:space="preserve"> z </w:t>
            </w:r>
            <w:r>
              <w:rPr>
                <w:color w:val="000000"/>
              </w:rPr>
              <w:t>důvodu náboženského vyznání nebo přesvědčení; za jakých okolností může být rozdílné zacházení nepřímo založené na náboženském vyznání či přesvědčení vyplývající</w:t>
            </w:r>
            <w:r w:rsidR="00D56DD0">
              <w:rPr>
                <w:color w:val="000000"/>
              </w:rPr>
              <w:t xml:space="preserve"> z </w:t>
            </w:r>
            <w:r>
              <w:rPr>
                <w:color w:val="000000"/>
              </w:rPr>
              <w:t>tohoto pravidla odůvodněno</w:t>
            </w:r>
            <w:r w:rsidR="00D56DD0">
              <w:rPr>
                <w:color w:val="000000"/>
              </w:rPr>
              <w:t xml:space="preserve"> a </w:t>
            </w:r>
            <w:r>
              <w:rPr>
                <w:color w:val="000000"/>
              </w:rPr>
              <w:t>jaké prvky musí být vzaty</w:t>
            </w:r>
            <w:r w:rsidR="00D56DD0">
              <w:rPr>
                <w:color w:val="000000"/>
              </w:rPr>
              <w:t xml:space="preserve"> v </w:t>
            </w:r>
            <w:r>
              <w:rPr>
                <w:color w:val="000000"/>
              </w:rPr>
              <w:t>potaz při zkoumání přiměřenosti takového rozdílného zacházení.</w:t>
            </w:r>
          </w:p>
          <w:p w14:paraId="1FD450B5" w14:textId="77777777" w:rsidR="00350DE7" w:rsidRPr="00B86878" w:rsidRDefault="00350DE7" w:rsidP="00350DE7">
            <w:pPr>
              <w:spacing w:after="240"/>
              <w:jc w:val="both"/>
              <w:rPr>
                <w:rFonts w:eastAsia="Times New Roman" w:cstheme="minorHAnsi"/>
                <w:i/>
                <w:iCs/>
                <w:color w:val="000000"/>
                <w:kern w:val="0"/>
              </w:rPr>
            </w:pPr>
            <w:r>
              <w:rPr>
                <w:i/>
                <w:color w:val="000000"/>
              </w:rPr>
              <w:t>Hodnocení Soudního dvora</w:t>
            </w:r>
          </w:p>
          <w:p w14:paraId="2F290459" w14:textId="77777777" w:rsidR="00350DE7" w:rsidRPr="00B86878" w:rsidRDefault="00350DE7" w:rsidP="00350DE7">
            <w:pPr>
              <w:spacing w:after="240"/>
              <w:jc w:val="both"/>
              <w:rPr>
                <w:rFonts w:eastAsia="Times New Roman" w:cstheme="minorHAnsi"/>
                <w:color w:val="000000"/>
                <w:kern w:val="0"/>
              </w:rPr>
            </w:pPr>
            <w:r>
              <w:rPr>
                <w:color w:val="000000"/>
              </w:rPr>
              <w:t>Soudní dvůr ve věci C</w:t>
            </w:r>
            <w:r>
              <w:rPr>
                <w:color w:val="000000"/>
              </w:rPr>
              <w:noBreakHyphen/>
              <w:t>804/18 nejprve zkoumal, zda interní pravidlo podniku, které zakazuje zaměstnancům nosit na pracovišti jakýkoli viditelný symbol politického, filozofického nebo náboženského přesvědčení, zakládá ve vztahu</w:t>
            </w:r>
            <w:r w:rsidR="00D56DD0">
              <w:rPr>
                <w:color w:val="000000"/>
              </w:rPr>
              <w:t xml:space="preserve"> k </w:t>
            </w:r>
            <w:r>
              <w:rPr>
                <w:color w:val="000000"/>
              </w:rPr>
              <w:t>zaměstnancům, kteří</w:t>
            </w:r>
            <w:r w:rsidR="00D56DD0">
              <w:rPr>
                <w:color w:val="000000"/>
              </w:rPr>
              <w:t xml:space="preserve"> z </w:t>
            </w:r>
            <w:r>
              <w:rPr>
                <w:color w:val="000000"/>
              </w:rPr>
              <w:t>důvodu náboženských pravidel dodržují určitá pravidla oblékání, přímou diskriminaci na základě náboženského vyznání nebo přesvědčení ve smyslu směrnice 2000/78/ES.</w:t>
            </w:r>
          </w:p>
          <w:p w14:paraId="5398A6F1" w14:textId="77777777" w:rsidR="00350DE7" w:rsidRPr="00B86878" w:rsidRDefault="00350DE7" w:rsidP="00350DE7">
            <w:pPr>
              <w:spacing w:after="240"/>
              <w:jc w:val="both"/>
              <w:rPr>
                <w:rFonts w:eastAsia="Times New Roman" w:cstheme="minorHAnsi"/>
                <w:color w:val="000000"/>
                <w:kern w:val="0"/>
              </w:rPr>
            </w:pPr>
            <w:r>
              <w:rPr>
                <w:color w:val="000000"/>
              </w:rPr>
              <w:t>V tomto ohledu Soudní dvůr konstatoval, že nošení symbolů nebo oděvů</w:t>
            </w:r>
            <w:r w:rsidR="00D56DD0">
              <w:rPr>
                <w:color w:val="000000"/>
              </w:rPr>
              <w:t xml:space="preserve"> k </w:t>
            </w:r>
            <w:r>
              <w:rPr>
                <w:color w:val="000000"/>
              </w:rPr>
              <w:t>vyjádření náboženského vyznání nebo přesvědčení spadá pod „svobodu myšlení, svědomí</w:t>
            </w:r>
            <w:r w:rsidR="00D56DD0">
              <w:rPr>
                <w:color w:val="000000"/>
              </w:rPr>
              <w:t xml:space="preserve"> a </w:t>
            </w:r>
            <w:r>
              <w:rPr>
                <w:color w:val="000000"/>
              </w:rPr>
              <w:t xml:space="preserve">náboženského vyznání“. </w:t>
            </w:r>
          </w:p>
          <w:p w14:paraId="224958E0" w14:textId="77777777" w:rsidR="00350DE7" w:rsidRPr="00B86878" w:rsidRDefault="00350DE7" w:rsidP="00350DE7">
            <w:pPr>
              <w:spacing w:after="240"/>
              <w:jc w:val="both"/>
              <w:rPr>
                <w:rFonts w:eastAsia="Times New Roman" w:cstheme="minorHAnsi"/>
                <w:color w:val="000000"/>
                <w:kern w:val="0"/>
              </w:rPr>
            </w:pPr>
            <w:r>
              <w:rPr>
                <w:color w:val="000000"/>
              </w:rPr>
              <w:t>Soudní dvůr dále připomněl svou rozhodovací praxi, že takové pravidlo nezakládá přímou diskriminaci, pokud se vztahuje bez rozdílu na jakýkoli projev takovéhoto přesvědčení</w:t>
            </w:r>
            <w:r w:rsidR="00D56DD0">
              <w:rPr>
                <w:color w:val="000000"/>
              </w:rPr>
              <w:t xml:space="preserve"> a </w:t>
            </w:r>
            <w:r>
              <w:rPr>
                <w:color w:val="000000"/>
              </w:rPr>
              <w:t>se všemi pracovníky podniku se zachází stejným způsobem, když jim je obecným způsobem</w:t>
            </w:r>
            <w:r w:rsidR="00D56DD0">
              <w:rPr>
                <w:color w:val="000000"/>
              </w:rPr>
              <w:t xml:space="preserve"> a </w:t>
            </w:r>
            <w:r>
              <w:rPr>
                <w:color w:val="000000"/>
              </w:rPr>
              <w:t>bez rozdílu uložena zejména povinnost neutrálního oděvu, jež jim</w:t>
            </w:r>
            <w:r w:rsidR="00D56DD0">
              <w:rPr>
                <w:color w:val="000000"/>
              </w:rPr>
              <w:t xml:space="preserve"> v </w:t>
            </w:r>
            <w:r>
              <w:rPr>
                <w:color w:val="000000"/>
              </w:rPr>
              <w:t>nošení takovýchto symbolů brání. Soudní dvůr dospěl</w:t>
            </w:r>
            <w:r w:rsidR="00D56DD0">
              <w:rPr>
                <w:color w:val="000000"/>
              </w:rPr>
              <w:t xml:space="preserve"> k </w:t>
            </w:r>
            <w:r>
              <w:rPr>
                <w:color w:val="000000"/>
              </w:rPr>
              <w:t xml:space="preserve">tomu, že takový závěr není zpochybněn okolností, že někteří zaměstnanci dodržují náboženská pravidla, která vyžadují nošení určitého oděvu. </w:t>
            </w:r>
          </w:p>
          <w:p w14:paraId="72E33D5F" w14:textId="77777777" w:rsidR="00350DE7" w:rsidRPr="00B86878" w:rsidRDefault="00350DE7" w:rsidP="00350DE7">
            <w:pPr>
              <w:spacing w:after="240"/>
              <w:jc w:val="both"/>
              <w:rPr>
                <w:rFonts w:eastAsia="Times New Roman" w:cstheme="minorHAnsi"/>
                <w:color w:val="000000"/>
                <w:kern w:val="0"/>
              </w:rPr>
            </w:pPr>
            <w:r>
              <w:rPr>
                <w:color w:val="000000"/>
              </w:rPr>
              <w:t>V předmětné věci se zjevně toto pravidlo uplatnilo obecně</w:t>
            </w:r>
            <w:r w:rsidR="00D56DD0">
              <w:rPr>
                <w:color w:val="000000"/>
              </w:rPr>
              <w:t xml:space="preserve"> a </w:t>
            </w:r>
            <w:r>
              <w:rPr>
                <w:color w:val="000000"/>
              </w:rPr>
              <w:t>bez rozdílu, jelikož zaměstnavatel požádal také jinou zaměstnankyni, která nosila křížek, aby jej odložila.  Soudní dvůr uzavřel, že za daných okolností pravidlo korespondující</w:t>
            </w:r>
            <w:r w:rsidR="00D56DD0">
              <w:rPr>
                <w:color w:val="000000"/>
              </w:rPr>
              <w:t xml:space="preserve"> s </w:t>
            </w:r>
            <w:r>
              <w:rPr>
                <w:color w:val="000000"/>
              </w:rPr>
              <w:t>tím, jež je projednáváno</w:t>
            </w:r>
            <w:r w:rsidR="00D56DD0">
              <w:rPr>
                <w:color w:val="000000"/>
              </w:rPr>
              <w:t xml:space="preserve"> v </w:t>
            </w:r>
            <w:r>
              <w:rPr>
                <w:color w:val="000000"/>
              </w:rPr>
              <w:t>této věci, nezakládá ve vztahu</w:t>
            </w:r>
            <w:r w:rsidR="00D56DD0">
              <w:rPr>
                <w:color w:val="000000"/>
              </w:rPr>
              <w:t xml:space="preserve"> k </w:t>
            </w:r>
            <w:r>
              <w:rPr>
                <w:color w:val="000000"/>
              </w:rPr>
              <w:t>zaměstnancům, kteří</w:t>
            </w:r>
            <w:r w:rsidR="00D56DD0">
              <w:rPr>
                <w:color w:val="000000"/>
              </w:rPr>
              <w:t xml:space="preserve"> z </w:t>
            </w:r>
            <w:r>
              <w:rPr>
                <w:color w:val="000000"/>
              </w:rPr>
              <w:t>důvodu náboženských pravidel dodržují určitá pravidla oblékání, přímou diskriminaci na základě náboženského vyznání nebo přesvědčení.</w:t>
            </w:r>
          </w:p>
          <w:p w14:paraId="12B667F7" w14:textId="77777777" w:rsidR="00350DE7" w:rsidRPr="00B86878" w:rsidRDefault="00350DE7" w:rsidP="00350DE7">
            <w:pPr>
              <w:spacing w:after="240"/>
              <w:jc w:val="both"/>
              <w:rPr>
                <w:rFonts w:eastAsia="Times New Roman" w:cstheme="minorHAnsi"/>
                <w:color w:val="000000"/>
                <w:kern w:val="0"/>
              </w:rPr>
            </w:pPr>
            <w:r>
              <w:rPr>
                <w:color w:val="000000"/>
              </w:rPr>
              <w:t>Soudní dvůr zadruhé zkoumal, zda rozdílné zacházení nepřímo založené na náboženském vyznání nebo přesvědčení, vyplývající</w:t>
            </w:r>
            <w:r w:rsidR="00D56DD0">
              <w:rPr>
                <w:color w:val="000000"/>
              </w:rPr>
              <w:t xml:space="preserve"> z </w:t>
            </w:r>
            <w:r>
              <w:rPr>
                <w:color w:val="000000"/>
              </w:rPr>
              <w:t>interního pravidla podniku, může být odůvodněno vůlí zaměstnavatele uplatňovat vůči svým zákazníkům nebo uživatelům politiku politické, filozofické</w:t>
            </w:r>
            <w:r w:rsidR="00D56DD0">
              <w:rPr>
                <w:color w:val="000000"/>
              </w:rPr>
              <w:t xml:space="preserve"> a </w:t>
            </w:r>
            <w:r>
              <w:rPr>
                <w:color w:val="000000"/>
              </w:rPr>
              <w:t>náboženské neutrality</w:t>
            </w:r>
            <w:r w:rsidR="00D56DD0">
              <w:rPr>
                <w:color w:val="000000"/>
              </w:rPr>
              <w:t xml:space="preserve"> s </w:t>
            </w:r>
            <w:r>
              <w:rPr>
                <w:color w:val="000000"/>
              </w:rPr>
              <w:t>cílem zohlednit jejich legitimní očekávání. Tuto otázku zodpověděl kladně</w:t>
            </w:r>
            <w:r w:rsidR="00D56DD0">
              <w:rPr>
                <w:color w:val="000000"/>
              </w:rPr>
              <w:t xml:space="preserve"> a </w:t>
            </w:r>
            <w:r>
              <w:rPr>
                <w:color w:val="000000"/>
              </w:rPr>
              <w:t>identifikoval prvky, na nichž je tento závěr založen.</w:t>
            </w:r>
          </w:p>
          <w:p w14:paraId="7ABF2B58" w14:textId="77777777" w:rsidR="00350DE7" w:rsidRPr="00B86878" w:rsidRDefault="00350DE7" w:rsidP="00350DE7">
            <w:pPr>
              <w:spacing w:after="240"/>
              <w:jc w:val="both"/>
              <w:rPr>
                <w:rFonts w:eastAsia="Times New Roman" w:cstheme="minorHAnsi"/>
                <w:color w:val="000000"/>
                <w:kern w:val="0"/>
              </w:rPr>
            </w:pPr>
            <w:r>
              <w:rPr>
                <w:color w:val="000000"/>
              </w:rPr>
              <w:t>V tomto ohledu Soudní dvůr nejprve konstatoval, že vůle zaměstnavatele prezentovat vůči svým zákazníkům nebo uživatelům politiku politické, filozofické</w:t>
            </w:r>
            <w:r w:rsidR="00D56DD0">
              <w:rPr>
                <w:color w:val="000000"/>
              </w:rPr>
              <w:t xml:space="preserve"> a </w:t>
            </w:r>
            <w:r>
              <w:rPr>
                <w:color w:val="000000"/>
              </w:rPr>
              <w:t>náboženské neutrality může být považována za legitimní cíl. Soudní dvůr však také uvedl, že samotná tato vůle nepostačuje</w:t>
            </w:r>
            <w:r w:rsidR="00D56DD0">
              <w:rPr>
                <w:color w:val="000000"/>
              </w:rPr>
              <w:t xml:space="preserve"> k </w:t>
            </w:r>
            <w:r>
              <w:rPr>
                <w:color w:val="000000"/>
              </w:rPr>
              <w:t>objektivnímu odůvodnění rozdílného zacházení nepřímo založeného na náboženském vyznání nebo přesvědčení, jelikož takové odůvodnění lze považovat za objektivní pouze</w:t>
            </w:r>
            <w:r w:rsidR="00D56DD0">
              <w:rPr>
                <w:color w:val="000000"/>
              </w:rPr>
              <w:t xml:space="preserve"> v </w:t>
            </w:r>
            <w:r>
              <w:rPr>
                <w:color w:val="000000"/>
              </w:rPr>
              <w:t xml:space="preserve">případě </w:t>
            </w:r>
            <w:r>
              <w:rPr>
                <w:i/>
                <w:iCs/>
                <w:color w:val="000000"/>
              </w:rPr>
              <w:t>skutečné potřeby</w:t>
            </w:r>
            <w:r>
              <w:rPr>
                <w:color w:val="000000"/>
              </w:rPr>
              <w:t xml:space="preserve"> tohoto </w:t>
            </w:r>
            <w:r>
              <w:rPr>
                <w:color w:val="000000"/>
              </w:rPr>
              <w:lastRenderedPageBreak/>
              <w:t>zaměstnavatele. Relevantními prvky pro identifikaci takové potřeby jsou mj. práva</w:t>
            </w:r>
            <w:r w:rsidR="00D56DD0">
              <w:rPr>
                <w:color w:val="000000"/>
              </w:rPr>
              <w:t xml:space="preserve"> a </w:t>
            </w:r>
            <w:r>
              <w:rPr>
                <w:color w:val="000000"/>
              </w:rPr>
              <w:t>legitimní očekávání zákazníků nebo uživatelů</w:t>
            </w:r>
            <w:r w:rsidR="00D56DD0">
              <w:rPr>
                <w:color w:val="000000"/>
              </w:rPr>
              <w:t xml:space="preserve"> a </w:t>
            </w:r>
            <w:r>
              <w:rPr>
                <w:color w:val="000000"/>
              </w:rPr>
              <w:t>konkrétněji, pokud jde</w:t>
            </w:r>
            <w:r w:rsidR="00D56DD0">
              <w:rPr>
                <w:color w:val="000000"/>
              </w:rPr>
              <w:t xml:space="preserve"> o </w:t>
            </w:r>
            <w:r>
              <w:rPr>
                <w:color w:val="000000"/>
              </w:rPr>
              <w:t>vzdělávání, přání rodičů, aby se jejich dětem věnovaly osoby, které při kontaktu</w:t>
            </w:r>
            <w:r w:rsidR="00D56DD0">
              <w:rPr>
                <w:color w:val="000000"/>
              </w:rPr>
              <w:t xml:space="preserve"> s </w:t>
            </w:r>
            <w:r>
              <w:rPr>
                <w:color w:val="000000"/>
              </w:rPr>
              <w:t>nimi neprojevují své náboženské vyznání nebo přesvědčení.</w:t>
            </w:r>
          </w:p>
          <w:p w14:paraId="12EECD27" w14:textId="77777777" w:rsidR="00350DE7" w:rsidRPr="00B86878" w:rsidRDefault="00350DE7" w:rsidP="00350DE7">
            <w:pPr>
              <w:spacing w:after="240"/>
              <w:jc w:val="both"/>
              <w:rPr>
                <w:rFonts w:eastAsia="Times New Roman" w:cstheme="minorHAnsi"/>
                <w:color w:val="000000"/>
                <w:kern w:val="0"/>
              </w:rPr>
            </w:pPr>
            <w:r>
              <w:rPr>
                <w:color w:val="000000"/>
              </w:rPr>
              <w:t>Při hodnocení, zda taková potřeba existuje, je obzvláště relevantní předložení důkazu zaměstnavatelem, že</w:t>
            </w:r>
            <w:r w:rsidR="00D56DD0">
              <w:rPr>
                <w:color w:val="000000"/>
              </w:rPr>
              <w:t xml:space="preserve"> v </w:t>
            </w:r>
            <w:r>
              <w:rPr>
                <w:color w:val="000000"/>
              </w:rPr>
              <w:t>případě neexistence takové politiky politické, filozofické</w:t>
            </w:r>
            <w:r w:rsidR="00D56DD0">
              <w:rPr>
                <w:color w:val="000000"/>
              </w:rPr>
              <w:t xml:space="preserve"> a </w:t>
            </w:r>
            <w:r>
              <w:rPr>
                <w:color w:val="000000"/>
              </w:rPr>
              <w:t>náboženské neutrality by byla narušena jeho svoboda podnikání, jelikož vzhledem</w:t>
            </w:r>
            <w:r w:rsidR="00D56DD0">
              <w:rPr>
                <w:color w:val="000000"/>
              </w:rPr>
              <w:t xml:space="preserve"> k </w:t>
            </w:r>
            <w:r>
              <w:rPr>
                <w:color w:val="000000"/>
              </w:rPr>
              <w:t>povaze jeho činnosti nebo kontextu této činnosti by byl vystaven nepříznivým důsledkům.</w:t>
            </w:r>
          </w:p>
          <w:p w14:paraId="6E410025" w14:textId="77777777" w:rsidR="00350DE7" w:rsidRPr="00B86878" w:rsidRDefault="00350DE7" w:rsidP="00350DE7">
            <w:pPr>
              <w:spacing w:after="240"/>
              <w:jc w:val="both"/>
              <w:rPr>
                <w:rFonts w:eastAsia="Times New Roman" w:cstheme="minorHAnsi"/>
                <w:color w:val="000000"/>
                <w:kern w:val="0"/>
              </w:rPr>
            </w:pPr>
            <w:r>
              <w:rPr>
                <w:color w:val="000000"/>
              </w:rPr>
              <w:t>Soudní dvůr poté uvedl, že rozdílné zacházení musí být přiměřené pro účely zajištění řádného uplatňování politiky neutrality zaměstnavatele, což předpokládá, že tato politika je skutečně prováděna soudržným</w:t>
            </w:r>
            <w:r w:rsidR="00D56DD0">
              <w:rPr>
                <w:color w:val="000000"/>
              </w:rPr>
              <w:t xml:space="preserve"> a </w:t>
            </w:r>
            <w:r>
              <w:rPr>
                <w:color w:val="000000"/>
              </w:rPr>
              <w:t>systematickým způsobem.</w:t>
            </w:r>
            <w:r w:rsidR="00D56DD0">
              <w:rPr>
                <w:color w:val="000000"/>
              </w:rPr>
              <w:t xml:space="preserve"> A </w:t>
            </w:r>
            <w:r>
              <w:rPr>
                <w:color w:val="000000"/>
              </w:rPr>
              <w:t>konečně zákaz nosit viditelný symbol politického, filozofického</w:t>
            </w:r>
            <w:r w:rsidR="00D56DD0">
              <w:rPr>
                <w:color w:val="000000"/>
              </w:rPr>
              <w:t xml:space="preserve"> a </w:t>
            </w:r>
            <w:r>
              <w:rPr>
                <w:color w:val="000000"/>
              </w:rPr>
              <w:t>náboženského přesvědčení na pracovišti se musí omezovat na to, co je skutečně nezbytné</w:t>
            </w:r>
            <w:r w:rsidR="00D56DD0">
              <w:rPr>
                <w:color w:val="000000"/>
              </w:rPr>
              <w:t xml:space="preserve"> s </w:t>
            </w:r>
            <w:r>
              <w:rPr>
                <w:color w:val="000000"/>
              </w:rPr>
              <w:t>ohledem na nepříznivé důsledky, kterým se zaměstnavatel snaží takovým zákazem zabránit.</w:t>
            </w:r>
          </w:p>
          <w:p w14:paraId="4EAF875F" w14:textId="77777777" w:rsidR="00350DE7" w:rsidRPr="00B86878" w:rsidRDefault="00350DE7" w:rsidP="00350DE7">
            <w:pPr>
              <w:spacing w:after="240"/>
              <w:jc w:val="both"/>
              <w:rPr>
                <w:rFonts w:eastAsia="Times New Roman" w:cstheme="minorHAnsi"/>
                <w:color w:val="000000"/>
                <w:kern w:val="0"/>
              </w:rPr>
            </w:pPr>
            <w:r>
              <w:rPr>
                <w:color w:val="000000"/>
              </w:rPr>
              <w:t>Zatřetí Soudní dvůr posuzoval</w:t>
            </w:r>
            <w:r w:rsidR="00D56DD0">
              <w:rPr>
                <w:color w:val="000000"/>
              </w:rPr>
              <w:t xml:space="preserve"> v </w:t>
            </w:r>
            <w:r>
              <w:rPr>
                <w:color w:val="000000"/>
              </w:rPr>
              <w:t>souvislosti</w:t>
            </w:r>
            <w:r w:rsidR="00D56DD0">
              <w:rPr>
                <w:color w:val="000000"/>
              </w:rPr>
              <w:t xml:space="preserve"> s </w:t>
            </w:r>
            <w:r>
              <w:rPr>
                <w:color w:val="000000"/>
              </w:rPr>
              <w:t>věcí C</w:t>
            </w:r>
            <w:r>
              <w:rPr>
                <w:color w:val="000000"/>
              </w:rPr>
              <w:noBreakHyphen/>
              <w:t>341/19, zda nepřímá diskriminace na základě náboženského vyznání nebo přesvědčení vyplývající</w:t>
            </w:r>
            <w:r w:rsidR="00D56DD0">
              <w:rPr>
                <w:color w:val="000000"/>
              </w:rPr>
              <w:t xml:space="preserve"> z </w:t>
            </w:r>
            <w:r>
              <w:rPr>
                <w:color w:val="000000"/>
              </w:rPr>
              <w:t>interního pravidla podniku, které zakazuje nošení viditelných politických, filozofických nebo náboženských symbolů na pracovišti</w:t>
            </w:r>
            <w:r w:rsidR="00D56DD0">
              <w:rPr>
                <w:color w:val="000000"/>
              </w:rPr>
              <w:t xml:space="preserve"> s </w:t>
            </w:r>
            <w:r>
              <w:rPr>
                <w:color w:val="000000"/>
              </w:rPr>
              <w:t>cílem zajistit</w:t>
            </w:r>
            <w:r w:rsidR="00D56DD0">
              <w:rPr>
                <w:color w:val="000000"/>
              </w:rPr>
              <w:t xml:space="preserve"> v </w:t>
            </w:r>
            <w:r>
              <w:rPr>
                <w:color w:val="000000"/>
              </w:rPr>
              <w:t>rámci tohoto podniku politiku neutrality, může být odůvodněna pouze tehdy, pokud se tento zákaz vztahuje na jakoukoliv viditelnou formu vyjádření náboženského, politického nebo filozofického přesvědčení, nebo zda je přípustný zákaz omezující se jen na nápadné</w:t>
            </w:r>
            <w:r w:rsidR="00D56DD0">
              <w:rPr>
                <w:color w:val="000000"/>
              </w:rPr>
              <w:t xml:space="preserve"> a </w:t>
            </w:r>
            <w:r>
              <w:rPr>
                <w:color w:val="000000"/>
              </w:rPr>
              <w:t>rozměrné symboly, je-li uplatňován soudržně</w:t>
            </w:r>
            <w:r w:rsidR="00D56DD0">
              <w:rPr>
                <w:color w:val="000000"/>
              </w:rPr>
              <w:t xml:space="preserve"> a </w:t>
            </w:r>
            <w:r>
              <w:rPr>
                <w:color w:val="000000"/>
              </w:rPr>
              <w:t>systematicky.</w:t>
            </w:r>
          </w:p>
          <w:p w14:paraId="3EE93223" w14:textId="77777777" w:rsidR="00350DE7" w:rsidRPr="00B86878" w:rsidRDefault="00350DE7" w:rsidP="00350DE7">
            <w:pPr>
              <w:spacing w:after="240"/>
              <w:jc w:val="both"/>
              <w:rPr>
                <w:rFonts w:eastAsia="Times New Roman" w:cstheme="minorHAnsi"/>
                <w:color w:val="000000"/>
                <w:kern w:val="0"/>
              </w:rPr>
            </w:pPr>
            <w:r>
              <w:rPr>
                <w:color w:val="000000"/>
              </w:rPr>
              <w:t>Upozornil</w:t>
            </w:r>
            <w:r w:rsidR="00D56DD0">
              <w:rPr>
                <w:color w:val="000000"/>
              </w:rPr>
              <w:t xml:space="preserve"> v </w:t>
            </w:r>
            <w:r>
              <w:rPr>
                <w:color w:val="000000"/>
              </w:rPr>
              <w:t>tomto ohledu, že takový částečný zákaz se může závažněji dotknout osob, které se hlásí</w:t>
            </w:r>
            <w:r w:rsidR="00D56DD0">
              <w:rPr>
                <w:color w:val="000000"/>
              </w:rPr>
              <w:t xml:space="preserve"> k </w:t>
            </w:r>
            <w:r>
              <w:rPr>
                <w:color w:val="000000"/>
              </w:rPr>
              <w:t>náboženským, filozofickým</w:t>
            </w:r>
            <w:r w:rsidR="00D56DD0">
              <w:rPr>
                <w:color w:val="000000"/>
              </w:rPr>
              <w:t xml:space="preserve"> a </w:t>
            </w:r>
            <w:r>
              <w:rPr>
                <w:color w:val="000000"/>
              </w:rPr>
              <w:t>nekonfesním směrům, které vyžadují nošení oděvu nebo nápadného rozměrného symbolu, jako je šátek.</w:t>
            </w:r>
            <w:r w:rsidR="00D56DD0">
              <w:rPr>
                <w:color w:val="000000"/>
              </w:rPr>
              <w:t xml:space="preserve"> V </w:t>
            </w:r>
            <w:r>
              <w:rPr>
                <w:color w:val="000000"/>
              </w:rPr>
              <w:t>případech, kdy je kritérium nošení nápadných rozměrných symbolů výše popsaných druhů přesvědčení neoddělitelně spjato</w:t>
            </w:r>
            <w:r w:rsidR="00D56DD0">
              <w:rPr>
                <w:color w:val="000000"/>
              </w:rPr>
              <w:t xml:space="preserve"> s </w:t>
            </w:r>
            <w:r>
              <w:rPr>
                <w:color w:val="000000"/>
              </w:rPr>
              <w:t>jedním či několika určitými náboženskými vyznáními nebo přesvědčeními, bude mít zákaz nosit tyto symboly na základě takového kritéria za následek, že</w:t>
            </w:r>
            <w:r w:rsidR="00D56DD0">
              <w:rPr>
                <w:color w:val="000000"/>
              </w:rPr>
              <w:t xml:space="preserve"> s </w:t>
            </w:r>
            <w:r>
              <w:rPr>
                <w:color w:val="000000"/>
              </w:rPr>
              <w:t>některými zaměstnanci bude zacházeno méně příznivě než</w:t>
            </w:r>
            <w:r w:rsidR="00D56DD0">
              <w:rPr>
                <w:color w:val="000000"/>
              </w:rPr>
              <w:t xml:space="preserve"> s </w:t>
            </w:r>
            <w:r>
              <w:rPr>
                <w:color w:val="000000"/>
              </w:rPr>
              <w:t>jinými na základě jejich náboženského vyznání nebo přesvědčení,</w:t>
            </w:r>
            <w:r w:rsidR="00D56DD0">
              <w:rPr>
                <w:color w:val="000000"/>
              </w:rPr>
              <w:t xml:space="preserve"> a </w:t>
            </w:r>
            <w:r>
              <w:rPr>
                <w:color w:val="000000"/>
              </w:rPr>
              <w:t>bude tedy možné konstatovat přímou diskriminaci, která nebude odůvodněná.</w:t>
            </w:r>
          </w:p>
          <w:p w14:paraId="13352E67" w14:textId="77777777" w:rsidR="00350DE7" w:rsidRPr="00B86878" w:rsidRDefault="00350DE7" w:rsidP="00350DE7">
            <w:pPr>
              <w:spacing w:after="240"/>
              <w:jc w:val="both"/>
              <w:rPr>
                <w:rFonts w:eastAsia="Times New Roman" w:cstheme="minorHAnsi"/>
                <w:color w:val="000000"/>
                <w:kern w:val="0"/>
              </w:rPr>
            </w:pPr>
            <w:r>
              <w:rPr>
                <w:color w:val="000000"/>
              </w:rPr>
              <w:t>V případě, že by taková přímá diskriminace nicméně nebyla konstatována, připomněl Soudní dvůr, že takové rozdílné zacházení, pokud ve skutečnosti znevýhodňuje osoby hlásící se</w:t>
            </w:r>
            <w:r w:rsidR="00D56DD0">
              <w:rPr>
                <w:color w:val="000000"/>
              </w:rPr>
              <w:t xml:space="preserve"> k </w:t>
            </w:r>
            <w:r>
              <w:rPr>
                <w:color w:val="000000"/>
              </w:rPr>
              <w:t>určitému náboženskému vyznání nebo přesvědčení, zakládá nepřímou diskriminaci, jež může být odůvodněna pouze, pokud se tento zákaz vztahuje na jakoukoliv viditelnou formu vyjádření náboženského, politického nebo filozofického přesvědčení.</w:t>
            </w:r>
            <w:r w:rsidR="00D56DD0">
              <w:rPr>
                <w:color w:val="000000"/>
              </w:rPr>
              <w:t xml:space="preserve"> V </w:t>
            </w:r>
            <w:r>
              <w:rPr>
                <w:color w:val="000000"/>
              </w:rPr>
              <w:t>tomto směru konstatoval, že nerovné zacházení nepřímo založené na náboženském vyznání nebo přesvědčení může být objektivně odůvodněno pouze, pokud je taková politika neutrality</w:t>
            </w:r>
            <w:r w:rsidR="00D56DD0">
              <w:rPr>
                <w:color w:val="000000"/>
              </w:rPr>
              <w:t xml:space="preserve"> v </w:t>
            </w:r>
            <w:r>
              <w:rPr>
                <w:color w:val="000000"/>
              </w:rPr>
              <w:t>rámci podniku legitimním cílem</w:t>
            </w:r>
            <w:r w:rsidR="00D56DD0">
              <w:rPr>
                <w:color w:val="000000"/>
              </w:rPr>
              <w:t xml:space="preserve"> a </w:t>
            </w:r>
            <w:r>
              <w:rPr>
                <w:color w:val="000000"/>
              </w:rPr>
              <w:t xml:space="preserve">naplňuje skutečnou potřebu na straně podniku, jako je předcházení společenským konfliktům nebo neutrální prezentace zaměstnavatele vůči zákazníkům. Takovou politiku lze účinně uplatňovat pouze tehdy, pokud není přípustný žádný viditelný projev </w:t>
            </w:r>
            <w:r>
              <w:rPr>
                <w:color w:val="000000"/>
              </w:rPr>
              <w:lastRenderedPageBreak/>
              <w:t>politického, filozofického nebo náboženského přesvědčení, jsou-li zaměstnanci</w:t>
            </w:r>
            <w:r w:rsidR="00D56DD0">
              <w:rPr>
                <w:color w:val="000000"/>
              </w:rPr>
              <w:t xml:space="preserve"> v </w:t>
            </w:r>
            <w:r>
              <w:rPr>
                <w:color w:val="000000"/>
              </w:rPr>
              <w:t>kontaktu se zákazníky nebo mezi sebou, jelikož nošení jakéhokoliv symbolu,</w:t>
            </w:r>
            <w:r w:rsidR="00D56DD0">
              <w:rPr>
                <w:color w:val="000000"/>
              </w:rPr>
              <w:t xml:space="preserve"> i </w:t>
            </w:r>
            <w:r>
              <w:rPr>
                <w:color w:val="000000"/>
              </w:rPr>
              <w:t>malého, ohrožuje způsobilost opatření dosáhnout údajně sledovaného cíle.</w:t>
            </w:r>
          </w:p>
          <w:p w14:paraId="7A41D60B" w14:textId="77777777" w:rsidR="00350DE7" w:rsidRDefault="00350DE7" w:rsidP="00565834">
            <w:pPr>
              <w:spacing w:after="240"/>
              <w:jc w:val="both"/>
              <w:rPr>
                <w:rFonts w:eastAsia="Times New Roman" w:cstheme="minorHAnsi"/>
                <w:color w:val="000000"/>
                <w:kern w:val="0"/>
              </w:rPr>
            </w:pPr>
            <w:r>
              <w:rPr>
                <w:color w:val="000000"/>
              </w:rPr>
              <w:t>Závěrem Soudní dvůr uvedl, že</w:t>
            </w:r>
            <w:r w:rsidR="00D56DD0">
              <w:rPr>
                <w:color w:val="000000"/>
              </w:rPr>
              <w:t xml:space="preserve"> v </w:t>
            </w:r>
            <w:r>
              <w:rPr>
                <w:color w:val="000000"/>
              </w:rPr>
              <w:t xml:space="preserve">rámci přezkumu přiměřenosti rozdílného zacházení nepřímo založeného na náboženském vyznání nebo přesvědčení mohou být zohledněny příznivější vnitrostátní předpisy na ochranu svobody náboženského vyznání. </w:t>
            </w:r>
          </w:p>
          <w:p w14:paraId="4ABD5FC7" w14:textId="77777777" w:rsidR="00CA5340" w:rsidRPr="00707DDA" w:rsidRDefault="00CA5340">
            <w:pPr>
              <w:rPr>
                <w:rFonts w:ascii="Calibri" w:hAnsi="Calibri" w:cs="Calibri"/>
                <w:i/>
                <w:iCs/>
              </w:rPr>
            </w:pPr>
          </w:p>
        </w:tc>
      </w:tr>
      <w:tr w:rsidR="00CA5340" w:rsidRPr="00707DDA" w14:paraId="799A8CA1" w14:textId="77777777" w:rsidTr="00CA5340">
        <w:tc>
          <w:tcPr>
            <w:tcW w:w="8494" w:type="dxa"/>
          </w:tcPr>
          <w:p w14:paraId="2E54785E" w14:textId="77777777" w:rsidR="00CA5340" w:rsidRPr="00707DDA" w:rsidRDefault="00CA5340">
            <w:pPr>
              <w:rPr>
                <w:rFonts w:ascii="Calibri" w:hAnsi="Calibri" w:cs="Calibri"/>
              </w:rPr>
            </w:pPr>
            <w:r>
              <w:rPr>
                <w:b/>
              </w:rPr>
              <w:lastRenderedPageBreak/>
              <w:t>Judikatura SDEU</w:t>
            </w:r>
          </w:p>
        </w:tc>
      </w:tr>
      <w:tr w:rsidR="00CA5340" w:rsidRPr="00707DDA" w14:paraId="401B00C3" w14:textId="77777777" w:rsidTr="00CA5340">
        <w:tc>
          <w:tcPr>
            <w:tcW w:w="8494" w:type="dxa"/>
          </w:tcPr>
          <w:p w14:paraId="025FC0BE" w14:textId="71B869AE" w:rsidR="00F94AAE" w:rsidRDefault="005E06B1" w:rsidP="00610508">
            <w:pPr>
              <w:pStyle w:val="Normlnweb"/>
              <w:shd w:val="clear" w:color="auto" w:fill="FEFEFE"/>
              <w:rPr>
                <w:rFonts w:asciiTheme="minorHAnsi" w:hAnsiTheme="minorHAnsi" w:cstheme="minorHAnsi"/>
                <w:b/>
                <w:bCs/>
                <w:color w:val="000000" w:themeColor="text1"/>
              </w:rPr>
            </w:pPr>
            <w:r>
              <w:rPr>
                <w:rFonts w:asciiTheme="minorHAnsi" w:hAnsiTheme="minorHAnsi"/>
                <w:b/>
                <w:color w:val="000000" w:themeColor="text1"/>
              </w:rPr>
              <w:br/>
            </w:r>
            <w:r w:rsidR="004A0F69">
              <w:rPr>
                <w:rFonts w:asciiTheme="minorHAnsi" w:hAnsiTheme="minorHAnsi"/>
                <w:b/>
                <w:color w:val="000000" w:themeColor="text1"/>
              </w:rPr>
              <w:t>Odkazy na nejrelevantnější rozhodnutí</w:t>
            </w:r>
            <w:r w:rsidR="00D56DD0">
              <w:rPr>
                <w:rFonts w:asciiTheme="minorHAnsi" w:hAnsiTheme="minorHAnsi"/>
                <w:b/>
                <w:color w:val="000000" w:themeColor="text1"/>
              </w:rPr>
              <w:t xml:space="preserve"> v </w:t>
            </w:r>
            <w:r w:rsidR="004A0F69">
              <w:rPr>
                <w:rFonts w:asciiTheme="minorHAnsi" w:hAnsiTheme="minorHAnsi"/>
                <w:b/>
                <w:color w:val="000000" w:themeColor="text1"/>
              </w:rPr>
              <w:t>oblasti pracovního práva</w:t>
            </w:r>
          </w:p>
          <w:p w14:paraId="2E71F81D" w14:textId="77777777" w:rsidR="00F94AAE" w:rsidRPr="00A32F08" w:rsidRDefault="00796ED6" w:rsidP="00796ED6">
            <w:pPr>
              <w:pStyle w:val="Normlnweb"/>
              <w:numPr>
                <w:ilvl w:val="0"/>
                <w:numId w:val="14"/>
              </w:numPr>
              <w:shd w:val="clear" w:color="auto" w:fill="FEFEFE"/>
              <w:rPr>
                <w:rFonts w:asciiTheme="minorHAnsi" w:eastAsiaTheme="minorHAnsi" w:hAnsiTheme="minorHAnsi" w:cstheme="minorBidi"/>
                <w:b/>
                <w:color w:val="000000"/>
                <w:kern w:val="2"/>
                <w:lang w:eastAsia="en-US"/>
              </w:rPr>
            </w:pPr>
            <w:r w:rsidRPr="00A32F08">
              <w:rPr>
                <w:rFonts w:asciiTheme="minorHAnsi" w:eastAsiaTheme="minorHAnsi" w:hAnsiTheme="minorHAnsi" w:cstheme="minorBidi"/>
                <w:b/>
                <w:color w:val="000000"/>
                <w:kern w:val="2"/>
                <w:lang w:eastAsia="en-US"/>
              </w:rPr>
              <w:t xml:space="preserve">Rozsudek Soudního dvora (velký senát), C-148/22, 28. listopadu 2023, </w:t>
            </w:r>
            <w:r w:rsidRPr="00A32F08">
              <w:rPr>
                <w:rFonts w:asciiTheme="minorHAnsi" w:eastAsiaTheme="minorHAnsi" w:hAnsiTheme="minorHAnsi" w:cstheme="minorBidi"/>
                <w:b/>
                <w:i/>
                <w:color w:val="000000"/>
                <w:kern w:val="2"/>
                <w:lang w:eastAsia="en-US"/>
              </w:rPr>
              <w:t xml:space="preserve">OP v. </w:t>
            </w:r>
            <w:proofErr w:type="spellStart"/>
            <w:r w:rsidRPr="00A32F08">
              <w:rPr>
                <w:rFonts w:asciiTheme="minorHAnsi" w:eastAsiaTheme="minorHAnsi" w:hAnsiTheme="minorHAnsi" w:cstheme="minorBidi"/>
                <w:b/>
                <w:i/>
                <w:color w:val="000000"/>
                <w:kern w:val="2"/>
                <w:lang w:eastAsia="en-US"/>
              </w:rPr>
              <w:t>Commune</w:t>
            </w:r>
            <w:proofErr w:type="spellEnd"/>
            <w:r w:rsidRPr="00A32F08">
              <w:rPr>
                <w:rFonts w:asciiTheme="minorHAnsi" w:eastAsiaTheme="minorHAnsi" w:hAnsiTheme="minorHAnsi" w:cstheme="minorBidi"/>
                <w:b/>
                <w:i/>
                <w:color w:val="000000"/>
                <w:kern w:val="2"/>
                <w:lang w:eastAsia="en-US"/>
              </w:rPr>
              <w:t xml:space="preserve"> </w:t>
            </w:r>
            <w:proofErr w:type="spellStart"/>
            <w:r w:rsidRPr="00A32F08">
              <w:rPr>
                <w:rFonts w:asciiTheme="minorHAnsi" w:eastAsiaTheme="minorHAnsi" w:hAnsiTheme="minorHAnsi" w:cstheme="minorBidi"/>
                <w:b/>
                <w:i/>
                <w:color w:val="000000"/>
                <w:kern w:val="2"/>
                <w:lang w:eastAsia="en-US"/>
              </w:rPr>
              <w:t>d’Ans</w:t>
            </w:r>
            <w:proofErr w:type="spellEnd"/>
          </w:p>
          <w:p w14:paraId="65484820" w14:textId="77777777" w:rsidR="00F94AAE" w:rsidRPr="00395BEC" w:rsidRDefault="00F37C28" w:rsidP="005E6A9A">
            <w:pPr>
              <w:jc w:val="both"/>
            </w:pPr>
            <w:r>
              <w:rPr>
                <w:i/>
                <w:iCs/>
              </w:rPr>
              <w:t>Klíčové pojmy: veřejná správa</w:t>
            </w:r>
            <w:r w:rsidR="00D56DD0">
              <w:rPr>
                <w:i/>
                <w:iCs/>
              </w:rPr>
              <w:t xml:space="preserve"> a </w:t>
            </w:r>
            <w:r>
              <w:rPr>
                <w:i/>
                <w:iCs/>
              </w:rPr>
              <w:t>svoboda náboženského vyznání – muslimský šátek</w:t>
            </w:r>
            <w:r w:rsidR="00D56DD0">
              <w:rPr>
                <w:i/>
                <w:iCs/>
              </w:rPr>
              <w:t xml:space="preserve"> a </w:t>
            </w:r>
            <w:r>
              <w:rPr>
                <w:i/>
                <w:iCs/>
              </w:rPr>
              <w:t>pracoviště, neutralita veřejné správy</w:t>
            </w:r>
            <w:r w:rsidR="00D56DD0">
              <w:rPr>
                <w:i/>
                <w:iCs/>
              </w:rPr>
              <w:t xml:space="preserve"> a </w:t>
            </w:r>
            <w:r>
              <w:rPr>
                <w:i/>
                <w:iCs/>
              </w:rPr>
              <w:t>pracoviště – politika exkluzivní neutrality</w:t>
            </w:r>
            <w:r w:rsidR="00D56DD0">
              <w:rPr>
                <w:i/>
                <w:iCs/>
              </w:rPr>
              <w:t xml:space="preserve"> a </w:t>
            </w:r>
            <w:r>
              <w:rPr>
                <w:i/>
                <w:iCs/>
              </w:rPr>
              <w:t xml:space="preserve">legitimní cíl – </w:t>
            </w:r>
            <w:r w:rsidR="008772F9">
              <w:rPr>
                <w:i/>
                <w:iCs/>
              </w:rPr>
              <w:t>čl. </w:t>
            </w:r>
            <w:r>
              <w:rPr>
                <w:i/>
                <w:iCs/>
              </w:rPr>
              <w:t xml:space="preserve">2 odst. 2 písm. b) bod i) směrnice </w:t>
            </w:r>
            <w:r w:rsidR="008772F9">
              <w:rPr>
                <w:i/>
                <w:iCs/>
              </w:rPr>
              <w:t>č. </w:t>
            </w:r>
            <w:r>
              <w:rPr>
                <w:i/>
                <w:iCs/>
              </w:rPr>
              <w:t>2000/78/ES</w:t>
            </w:r>
            <w:r>
              <w:t xml:space="preserve"> </w:t>
            </w:r>
          </w:p>
          <w:p w14:paraId="2103F16F" w14:textId="77777777" w:rsidR="00F94AAE" w:rsidRDefault="00F52C40" w:rsidP="00610508">
            <w:pPr>
              <w:pStyle w:val="Normlnweb"/>
              <w:shd w:val="clear" w:color="auto" w:fill="FEFEFE"/>
              <w:rPr>
                <w:rFonts w:asciiTheme="minorHAnsi" w:hAnsiTheme="minorHAnsi" w:cstheme="minorHAnsi"/>
                <w:b/>
                <w:bCs/>
                <w:color w:val="000000" w:themeColor="text1"/>
              </w:rPr>
            </w:pPr>
            <w:hyperlink r:id="rId11" w:history="1">
              <w:r>
                <w:rPr>
                  <w:rFonts w:asciiTheme="minorHAnsi" w:hAnsiTheme="minorHAnsi"/>
                  <w:color w:val="0000FF"/>
                  <w:u w:val="single"/>
                </w:rPr>
                <w:t xml:space="preserve">CURIA – </w:t>
              </w:r>
              <w:proofErr w:type="spellStart"/>
              <w:r>
                <w:rPr>
                  <w:rFonts w:asciiTheme="minorHAnsi" w:hAnsiTheme="minorHAnsi"/>
                  <w:color w:val="0000FF"/>
                  <w:u w:val="single"/>
                </w:rPr>
                <w:t>Documents</w:t>
              </w:r>
              <w:proofErr w:type="spellEnd"/>
              <w:r>
                <w:rPr>
                  <w:rFonts w:asciiTheme="minorHAnsi" w:hAnsiTheme="minorHAnsi"/>
                  <w:color w:val="0000FF"/>
                  <w:u w:val="single"/>
                </w:rPr>
                <w:t xml:space="preserve"> (europa.eu)</w:t>
              </w:r>
            </w:hyperlink>
          </w:p>
          <w:p w14:paraId="2F51E1D4" w14:textId="77777777" w:rsidR="004A0F69" w:rsidRPr="00A32F08" w:rsidRDefault="004A0F69" w:rsidP="000B5D4E">
            <w:pPr>
              <w:pStyle w:val="Odstavecseseznamem"/>
              <w:numPr>
                <w:ilvl w:val="0"/>
                <w:numId w:val="12"/>
              </w:numPr>
              <w:jc w:val="both"/>
              <w:rPr>
                <w:rFonts w:cstheme="minorHAnsi"/>
                <w:b/>
              </w:rPr>
            </w:pPr>
            <w:r w:rsidRPr="00A32F08">
              <w:rPr>
                <w:b/>
              </w:rPr>
              <w:t xml:space="preserve">Rozsudek Soudního dvora (velký senát), C-157/15, 14. března 2019, </w:t>
            </w:r>
            <w:r w:rsidRPr="00A32F08">
              <w:rPr>
                <w:b/>
                <w:i/>
                <w:iCs/>
              </w:rPr>
              <w:t xml:space="preserve">Samira </w:t>
            </w:r>
            <w:proofErr w:type="spellStart"/>
            <w:r w:rsidRPr="00A32F08">
              <w:rPr>
                <w:b/>
                <w:i/>
                <w:iCs/>
              </w:rPr>
              <w:t>Achbita</w:t>
            </w:r>
            <w:proofErr w:type="spellEnd"/>
            <w:r w:rsidRPr="00A32F08">
              <w:rPr>
                <w:b/>
                <w:i/>
                <w:iCs/>
              </w:rPr>
              <w:t xml:space="preserve">, Centrum </w:t>
            </w:r>
            <w:proofErr w:type="spellStart"/>
            <w:r w:rsidRPr="00A32F08">
              <w:rPr>
                <w:b/>
                <w:i/>
                <w:iCs/>
              </w:rPr>
              <w:t>voor</w:t>
            </w:r>
            <w:proofErr w:type="spellEnd"/>
            <w:r w:rsidRPr="00A32F08">
              <w:rPr>
                <w:b/>
                <w:i/>
                <w:iCs/>
              </w:rPr>
              <w:t xml:space="preserve"> </w:t>
            </w:r>
            <w:proofErr w:type="spellStart"/>
            <w:r w:rsidRPr="00A32F08">
              <w:rPr>
                <w:b/>
                <w:i/>
                <w:iCs/>
              </w:rPr>
              <w:t>gelijkheid</w:t>
            </w:r>
            <w:proofErr w:type="spellEnd"/>
            <w:r w:rsidRPr="00A32F08">
              <w:rPr>
                <w:b/>
                <w:i/>
                <w:iCs/>
              </w:rPr>
              <w:t xml:space="preserve"> van </w:t>
            </w:r>
            <w:proofErr w:type="spellStart"/>
            <w:r w:rsidRPr="00A32F08">
              <w:rPr>
                <w:b/>
                <w:i/>
                <w:iCs/>
              </w:rPr>
              <w:t>kansen</w:t>
            </w:r>
            <w:proofErr w:type="spellEnd"/>
            <w:r w:rsidRPr="00A32F08">
              <w:rPr>
                <w:b/>
                <w:i/>
                <w:iCs/>
              </w:rPr>
              <w:t xml:space="preserve"> en </w:t>
            </w:r>
            <w:proofErr w:type="spellStart"/>
            <w:r w:rsidRPr="00A32F08">
              <w:rPr>
                <w:b/>
                <w:i/>
                <w:iCs/>
              </w:rPr>
              <w:t>voor</w:t>
            </w:r>
            <w:proofErr w:type="spellEnd"/>
            <w:r w:rsidRPr="00A32F08">
              <w:rPr>
                <w:b/>
                <w:i/>
                <w:iCs/>
              </w:rPr>
              <w:t xml:space="preserve"> </w:t>
            </w:r>
            <w:proofErr w:type="spellStart"/>
            <w:r w:rsidRPr="00A32F08">
              <w:rPr>
                <w:b/>
                <w:i/>
                <w:iCs/>
              </w:rPr>
              <w:t>racismebestrijding</w:t>
            </w:r>
            <w:proofErr w:type="spellEnd"/>
            <w:r w:rsidRPr="00A32F08">
              <w:rPr>
                <w:b/>
                <w:i/>
                <w:iCs/>
              </w:rPr>
              <w:t xml:space="preserve"> v. G4S </w:t>
            </w:r>
            <w:proofErr w:type="spellStart"/>
            <w:r w:rsidRPr="00A32F08">
              <w:rPr>
                <w:b/>
                <w:i/>
                <w:iCs/>
              </w:rPr>
              <w:t>Secure</w:t>
            </w:r>
            <w:proofErr w:type="spellEnd"/>
            <w:r w:rsidRPr="00A32F08">
              <w:rPr>
                <w:b/>
                <w:i/>
                <w:iCs/>
              </w:rPr>
              <w:t xml:space="preserve"> </w:t>
            </w:r>
            <w:proofErr w:type="spellStart"/>
            <w:r w:rsidRPr="00A32F08">
              <w:rPr>
                <w:b/>
                <w:i/>
                <w:iCs/>
              </w:rPr>
              <w:t>Solutions</w:t>
            </w:r>
            <w:proofErr w:type="spellEnd"/>
            <w:r w:rsidRPr="00A32F08">
              <w:rPr>
                <w:b/>
                <w:i/>
                <w:iCs/>
              </w:rPr>
              <w:t xml:space="preserve"> NV</w:t>
            </w:r>
          </w:p>
          <w:p w14:paraId="735145D3" w14:textId="77777777" w:rsidR="00270563" w:rsidRDefault="00270563" w:rsidP="00270563">
            <w:pPr>
              <w:pStyle w:val="Odstavecseseznamem"/>
              <w:ind w:left="1335"/>
              <w:rPr>
                <w:i/>
                <w:iCs/>
              </w:rPr>
            </w:pPr>
          </w:p>
          <w:p w14:paraId="0FF09841" w14:textId="77777777" w:rsidR="004C045C" w:rsidRPr="004C045C" w:rsidRDefault="00DE6C6F" w:rsidP="004C045C">
            <w:pPr>
              <w:spacing w:after="240"/>
              <w:jc w:val="both"/>
              <w:rPr>
                <w:rFonts w:eastAsia="Times New Roman" w:cstheme="minorHAnsi"/>
                <w:color w:val="000000"/>
                <w:kern w:val="0"/>
              </w:rPr>
            </w:pPr>
            <w:r>
              <w:rPr>
                <w:i/>
                <w:iCs/>
              </w:rPr>
              <w:t>Klíčové pojmy: zákaz nošení muslimského šátku na pracovišti, přímá</w:t>
            </w:r>
            <w:r w:rsidR="00D56DD0">
              <w:rPr>
                <w:i/>
                <w:iCs/>
              </w:rPr>
              <w:t xml:space="preserve"> a </w:t>
            </w:r>
            <w:r>
              <w:rPr>
                <w:i/>
                <w:iCs/>
              </w:rPr>
              <w:t xml:space="preserve">nepřímá diskriminace – politika politické, filozofické nebo náboženské neutrality – přiměřený cíl – </w:t>
            </w:r>
            <w:r w:rsidR="008772F9">
              <w:rPr>
                <w:i/>
                <w:iCs/>
              </w:rPr>
              <w:t>čl. </w:t>
            </w:r>
            <w:r>
              <w:rPr>
                <w:i/>
                <w:iCs/>
              </w:rPr>
              <w:t xml:space="preserve">2 odst. 2 písm. b) bod i) směrnice </w:t>
            </w:r>
            <w:r w:rsidR="008772F9">
              <w:rPr>
                <w:i/>
                <w:iCs/>
              </w:rPr>
              <w:t>č. </w:t>
            </w:r>
            <w:r>
              <w:rPr>
                <w:i/>
                <w:iCs/>
              </w:rPr>
              <w:t>2000/78/ES</w:t>
            </w:r>
          </w:p>
          <w:p w14:paraId="1C0DBEF8" w14:textId="77777777" w:rsidR="004A0F69" w:rsidRPr="00FC2D5E" w:rsidRDefault="00F52C40" w:rsidP="004A0F69">
            <w:pPr>
              <w:shd w:val="clear" w:color="auto" w:fill="FAFAFA"/>
              <w:rPr>
                <w:rFonts w:cstheme="minorHAnsi"/>
              </w:rPr>
            </w:pPr>
            <w:hyperlink r:id="rId12" w:history="1">
              <w:r>
                <w:rPr>
                  <w:color w:val="0000FF"/>
                  <w:u w:val="single"/>
                </w:rPr>
                <w:t>EUR-</w:t>
              </w:r>
              <w:proofErr w:type="gramStart"/>
              <w:r>
                <w:rPr>
                  <w:color w:val="0000FF"/>
                  <w:u w:val="single"/>
                </w:rPr>
                <w:t>Lex - 62015CJ0157</w:t>
              </w:r>
              <w:proofErr w:type="gramEnd"/>
              <w:r>
                <w:rPr>
                  <w:color w:val="0000FF"/>
                  <w:u w:val="single"/>
                </w:rPr>
                <w:t xml:space="preserve"> - </w:t>
              </w:r>
              <w:proofErr w:type="gramStart"/>
              <w:r>
                <w:rPr>
                  <w:color w:val="0000FF"/>
                  <w:u w:val="single"/>
                </w:rPr>
                <w:t>EN - EUR</w:t>
              </w:r>
              <w:proofErr w:type="gramEnd"/>
              <w:r>
                <w:rPr>
                  <w:color w:val="0000FF"/>
                  <w:u w:val="single"/>
                </w:rPr>
                <w:t>-Lex (europa.eu)</w:t>
              </w:r>
            </w:hyperlink>
          </w:p>
          <w:p w14:paraId="56640343" w14:textId="77777777" w:rsidR="00675FFA" w:rsidRPr="0053389F" w:rsidRDefault="00675FFA" w:rsidP="0053389F">
            <w:pPr>
              <w:rPr>
                <w:rFonts w:cstheme="minorHAnsi"/>
                <w:i/>
                <w:iCs/>
                <w:color w:val="000000" w:themeColor="text1"/>
              </w:rPr>
            </w:pPr>
          </w:p>
          <w:p w14:paraId="55DE1301" w14:textId="77777777" w:rsidR="009730E9" w:rsidRPr="00A32F08" w:rsidRDefault="004A0F69" w:rsidP="00D803F5">
            <w:pPr>
              <w:pStyle w:val="Odstavecseseznamem"/>
              <w:numPr>
                <w:ilvl w:val="0"/>
                <w:numId w:val="11"/>
              </w:numPr>
              <w:rPr>
                <w:rFonts w:cstheme="minorHAnsi"/>
                <w:b/>
                <w:iCs/>
                <w:color w:val="000000" w:themeColor="text1"/>
              </w:rPr>
            </w:pPr>
            <w:r w:rsidRPr="00A32F08">
              <w:rPr>
                <w:b/>
                <w:color w:val="000000" w:themeColor="text1"/>
              </w:rPr>
              <w:t xml:space="preserve">Rozsudek Soudního dvora (velký senát), C-68/17, 11. září 2018, </w:t>
            </w:r>
            <w:r w:rsidRPr="00A32F08">
              <w:rPr>
                <w:b/>
                <w:i/>
                <w:color w:val="000000" w:themeColor="text1"/>
              </w:rPr>
              <w:t>IR v. JQ</w:t>
            </w:r>
          </w:p>
          <w:p w14:paraId="438BFC42" w14:textId="77777777" w:rsidR="00C64714" w:rsidRDefault="00C64714" w:rsidP="00C64714">
            <w:pPr>
              <w:pStyle w:val="Odstavecseseznamem"/>
              <w:ind w:left="1335"/>
              <w:rPr>
                <w:i/>
                <w:color w:val="000000" w:themeColor="text1"/>
              </w:rPr>
            </w:pPr>
          </w:p>
          <w:p w14:paraId="6C594338" w14:textId="77777777" w:rsidR="00C64714" w:rsidRPr="00C961B1" w:rsidRDefault="00C64714" w:rsidP="00C64714">
            <w:pPr>
              <w:spacing w:after="240"/>
              <w:jc w:val="both"/>
              <w:rPr>
                <w:rFonts w:eastAsia="Times New Roman" w:cstheme="minorHAnsi"/>
                <w:color w:val="000000"/>
                <w:kern w:val="0"/>
              </w:rPr>
            </w:pPr>
            <w:r>
              <w:rPr>
                <w:i/>
              </w:rPr>
              <w:t>Klíčové pojmy: církev</w:t>
            </w:r>
            <w:r w:rsidR="00D56DD0">
              <w:rPr>
                <w:i/>
              </w:rPr>
              <w:t xml:space="preserve"> a </w:t>
            </w:r>
            <w:r>
              <w:rPr>
                <w:i/>
              </w:rPr>
              <w:t>věrnost</w:t>
            </w:r>
            <w:r w:rsidR="00D56DD0">
              <w:rPr>
                <w:i/>
              </w:rPr>
              <w:t xml:space="preserve"> a </w:t>
            </w:r>
            <w:r>
              <w:rPr>
                <w:i/>
              </w:rPr>
              <w:t>svoboda náboženského vyznání na pracovišti, nové manželství</w:t>
            </w:r>
            <w:r w:rsidR="00D56DD0">
              <w:rPr>
                <w:i/>
              </w:rPr>
              <w:t xml:space="preserve"> a </w:t>
            </w:r>
            <w:r>
              <w:rPr>
                <w:i/>
              </w:rPr>
              <w:t xml:space="preserve">propuštění – profesní požadavek – zásada přiměřenosti – </w:t>
            </w:r>
            <w:r w:rsidR="008772F9">
              <w:rPr>
                <w:i/>
              </w:rPr>
              <w:t>čl. </w:t>
            </w:r>
            <w:r>
              <w:rPr>
                <w:i/>
              </w:rPr>
              <w:t>4 odst. 2 směrnice 2000/78/ES</w:t>
            </w:r>
          </w:p>
          <w:p w14:paraId="3774B3FB" w14:textId="77777777" w:rsidR="00761868" w:rsidRPr="00FC2D5E" w:rsidRDefault="00F52C40">
            <w:pPr>
              <w:rPr>
                <w:rFonts w:eastAsia="Times New Roman" w:cstheme="minorHAnsi"/>
                <w:b/>
                <w:bCs/>
                <w:color w:val="343D55"/>
                <w:kern w:val="0"/>
              </w:rPr>
            </w:pPr>
            <w:hyperlink r:id="rId13" w:history="1">
              <w:r>
                <w:rPr>
                  <w:color w:val="0000FF"/>
                  <w:u w:val="single"/>
                </w:rPr>
                <w:t>EUR-</w:t>
              </w:r>
              <w:proofErr w:type="gramStart"/>
              <w:r>
                <w:rPr>
                  <w:color w:val="0000FF"/>
                  <w:u w:val="single"/>
                </w:rPr>
                <w:t>Lex - 62017CJ0068</w:t>
              </w:r>
              <w:proofErr w:type="gramEnd"/>
              <w:r>
                <w:rPr>
                  <w:color w:val="0000FF"/>
                  <w:u w:val="single"/>
                </w:rPr>
                <w:t xml:space="preserve"> - </w:t>
              </w:r>
              <w:proofErr w:type="gramStart"/>
              <w:r>
                <w:rPr>
                  <w:color w:val="0000FF"/>
                  <w:u w:val="single"/>
                </w:rPr>
                <w:t>EN - EUR</w:t>
              </w:r>
              <w:proofErr w:type="gramEnd"/>
              <w:r>
                <w:rPr>
                  <w:color w:val="0000FF"/>
                  <w:u w:val="single"/>
                </w:rPr>
                <w:t>-Lex (europa.eu)</w:t>
              </w:r>
            </w:hyperlink>
          </w:p>
          <w:p w14:paraId="132968BF" w14:textId="77777777" w:rsidR="003E1AF1" w:rsidRPr="00FC2D5E" w:rsidRDefault="003E1AF1">
            <w:pPr>
              <w:rPr>
                <w:rFonts w:cstheme="minorHAnsi"/>
                <w:i/>
                <w:iCs/>
                <w:color w:val="000000" w:themeColor="text1"/>
              </w:rPr>
            </w:pPr>
          </w:p>
          <w:p w14:paraId="36A42295" w14:textId="77777777" w:rsidR="008B2559" w:rsidRPr="00A32F08" w:rsidRDefault="003E1AF1" w:rsidP="00ED69DF">
            <w:pPr>
              <w:pStyle w:val="Odstavecseseznamem"/>
              <w:numPr>
                <w:ilvl w:val="0"/>
                <w:numId w:val="11"/>
              </w:numPr>
              <w:jc w:val="both"/>
              <w:rPr>
                <w:rFonts w:cstheme="minorHAnsi"/>
                <w:b/>
              </w:rPr>
            </w:pPr>
            <w:r w:rsidRPr="00A32F08">
              <w:rPr>
                <w:b/>
              </w:rPr>
              <w:t xml:space="preserve">Rozsudek Soudního dvora (velký senát), C-414/16, 17. dubna 2018, </w:t>
            </w:r>
            <w:r w:rsidRPr="00A32F08">
              <w:rPr>
                <w:b/>
                <w:i/>
                <w:iCs/>
              </w:rPr>
              <w:t xml:space="preserve">Vera </w:t>
            </w:r>
            <w:proofErr w:type="spellStart"/>
            <w:r w:rsidRPr="00A32F08">
              <w:rPr>
                <w:b/>
                <w:i/>
                <w:iCs/>
              </w:rPr>
              <w:t>Egenberger</w:t>
            </w:r>
            <w:proofErr w:type="spellEnd"/>
            <w:r w:rsidRPr="00A32F08">
              <w:rPr>
                <w:b/>
                <w:i/>
                <w:iCs/>
              </w:rPr>
              <w:t xml:space="preserve"> v. </w:t>
            </w:r>
            <w:proofErr w:type="spellStart"/>
            <w:r w:rsidRPr="00A32F08">
              <w:rPr>
                <w:b/>
                <w:i/>
                <w:iCs/>
              </w:rPr>
              <w:t>Evangelisches</w:t>
            </w:r>
            <w:proofErr w:type="spellEnd"/>
            <w:r w:rsidRPr="00A32F08">
              <w:rPr>
                <w:b/>
                <w:i/>
                <w:iCs/>
              </w:rPr>
              <w:t xml:space="preserve"> </w:t>
            </w:r>
            <w:proofErr w:type="spellStart"/>
            <w:r w:rsidRPr="00A32F08">
              <w:rPr>
                <w:b/>
                <w:i/>
                <w:iCs/>
              </w:rPr>
              <w:t>Werk</w:t>
            </w:r>
            <w:proofErr w:type="spellEnd"/>
            <w:r w:rsidRPr="00A32F08">
              <w:rPr>
                <w:b/>
                <w:i/>
                <w:iCs/>
              </w:rPr>
              <w:t xml:space="preserve"> </w:t>
            </w:r>
            <w:proofErr w:type="spellStart"/>
            <w:r w:rsidRPr="00A32F08">
              <w:rPr>
                <w:b/>
                <w:i/>
                <w:iCs/>
              </w:rPr>
              <w:t>für</w:t>
            </w:r>
            <w:proofErr w:type="spellEnd"/>
            <w:r w:rsidRPr="00A32F08">
              <w:rPr>
                <w:b/>
                <w:i/>
                <w:iCs/>
              </w:rPr>
              <w:t xml:space="preserve"> Diakonie </w:t>
            </w:r>
            <w:proofErr w:type="spellStart"/>
            <w:r w:rsidRPr="00A32F08">
              <w:rPr>
                <w:b/>
                <w:i/>
                <w:iCs/>
              </w:rPr>
              <w:t>und</w:t>
            </w:r>
            <w:proofErr w:type="spellEnd"/>
            <w:r w:rsidRPr="00A32F08">
              <w:rPr>
                <w:b/>
                <w:i/>
                <w:iCs/>
              </w:rPr>
              <w:t xml:space="preserve"> </w:t>
            </w:r>
            <w:proofErr w:type="spellStart"/>
            <w:r w:rsidRPr="00A32F08">
              <w:rPr>
                <w:b/>
                <w:i/>
                <w:iCs/>
              </w:rPr>
              <w:t>Entwicklung</w:t>
            </w:r>
            <w:proofErr w:type="spellEnd"/>
            <w:r w:rsidRPr="00A32F08">
              <w:rPr>
                <w:b/>
                <w:i/>
                <w:iCs/>
              </w:rPr>
              <w:t xml:space="preserve"> </w:t>
            </w:r>
            <w:proofErr w:type="spellStart"/>
            <w:r w:rsidRPr="00A32F08">
              <w:rPr>
                <w:b/>
                <w:i/>
                <w:iCs/>
              </w:rPr>
              <w:t>e.V</w:t>
            </w:r>
            <w:proofErr w:type="spellEnd"/>
            <w:r w:rsidRPr="00A32F08">
              <w:rPr>
                <w:b/>
                <w:i/>
                <w:iCs/>
              </w:rPr>
              <w:t>.</w:t>
            </w:r>
          </w:p>
          <w:p w14:paraId="51CF74A3" w14:textId="77777777" w:rsidR="00001AF5" w:rsidRDefault="00001AF5" w:rsidP="00001AF5">
            <w:pPr>
              <w:rPr>
                <w:rFonts w:cstheme="minorHAnsi"/>
              </w:rPr>
            </w:pPr>
          </w:p>
          <w:p w14:paraId="1EBA6822" w14:textId="77777777" w:rsidR="00696182" w:rsidRPr="00C961B1" w:rsidRDefault="00696182" w:rsidP="00696182">
            <w:pPr>
              <w:spacing w:after="240"/>
              <w:jc w:val="both"/>
              <w:rPr>
                <w:rFonts w:eastAsia="Times New Roman" w:cstheme="minorHAnsi"/>
                <w:color w:val="000000"/>
                <w:kern w:val="0"/>
              </w:rPr>
            </w:pPr>
            <w:r>
              <w:rPr>
                <w:i/>
              </w:rPr>
              <w:t>Klíčové pojmy: církev</w:t>
            </w:r>
            <w:r w:rsidR="00D56DD0">
              <w:rPr>
                <w:i/>
              </w:rPr>
              <w:t xml:space="preserve"> a </w:t>
            </w:r>
            <w:r>
              <w:rPr>
                <w:i/>
              </w:rPr>
              <w:t>věrnost</w:t>
            </w:r>
            <w:r w:rsidR="00D56DD0">
              <w:rPr>
                <w:i/>
              </w:rPr>
              <w:t xml:space="preserve"> a </w:t>
            </w:r>
            <w:r>
              <w:rPr>
                <w:i/>
              </w:rPr>
              <w:t>svoboda náboženského vyznání na pracovišti – přijímací řízení – příslušnost</w:t>
            </w:r>
            <w:r w:rsidR="00D56DD0">
              <w:rPr>
                <w:i/>
              </w:rPr>
              <w:t xml:space="preserve"> k </w:t>
            </w:r>
            <w:r>
              <w:rPr>
                <w:i/>
              </w:rPr>
              <w:t>církvi – podstatný, legitimní</w:t>
            </w:r>
            <w:r w:rsidR="00D56DD0">
              <w:rPr>
                <w:i/>
              </w:rPr>
              <w:t xml:space="preserve"> a </w:t>
            </w:r>
            <w:r>
              <w:rPr>
                <w:i/>
              </w:rPr>
              <w:t xml:space="preserve">odůvodněný profesní </w:t>
            </w:r>
            <w:r>
              <w:rPr>
                <w:i/>
              </w:rPr>
              <w:lastRenderedPageBreak/>
              <w:t xml:space="preserve">požadavek – zásada přiměřenosti – </w:t>
            </w:r>
            <w:r w:rsidR="008772F9">
              <w:rPr>
                <w:i/>
              </w:rPr>
              <w:t>čl. </w:t>
            </w:r>
            <w:r>
              <w:rPr>
                <w:i/>
              </w:rPr>
              <w:t>4 odst. 2 směrnice 2000/78/ES</w:t>
            </w:r>
          </w:p>
          <w:p w14:paraId="7039AECD" w14:textId="77777777" w:rsidR="003E1AF1" w:rsidRPr="00FC2D5E" w:rsidRDefault="00F52C40">
            <w:pPr>
              <w:rPr>
                <w:rFonts w:cstheme="minorHAnsi"/>
                <w:i/>
                <w:iCs/>
                <w:color w:val="000000" w:themeColor="text1"/>
              </w:rPr>
            </w:pPr>
            <w:hyperlink r:id="rId14" w:history="1">
              <w:r>
                <w:rPr>
                  <w:color w:val="0000FF"/>
                  <w:u w:val="single"/>
                </w:rPr>
                <w:t>EUR-</w:t>
              </w:r>
              <w:proofErr w:type="gramStart"/>
              <w:r>
                <w:rPr>
                  <w:color w:val="0000FF"/>
                  <w:u w:val="single"/>
                </w:rPr>
                <w:t>Lex - 62016CJ0414</w:t>
              </w:r>
              <w:proofErr w:type="gramEnd"/>
              <w:r>
                <w:rPr>
                  <w:color w:val="0000FF"/>
                  <w:u w:val="single"/>
                </w:rPr>
                <w:t xml:space="preserve"> - </w:t>
              </w:r>
              <w:proofErr w:type="gramStart"/>
              <w:r>
                <w:rPr>
                  <w:color w:val="0000FF"/>
                  <w:u w:val="single"/>
                </w:rPr>
                <w:t>EN - EUR</w:t>
              </w:r>
              <w:proofErr w:type="gramEnd"/>
              <w:r>
                <w:rPr>
                  <w:color w:val="0000FF"/>
                  <w:u w:val="single"/>
                </w:rPr>
                <w:t>-Lex (europa.eu)</w:t>
              </w:r>
            </w:hyperlink>
          </w:p>
          <w:p w14:paraId="6FF3CF21" w14:textId="77777777" w:rsidR="009730E9" w:rsidRPr="00FC2D5E" w:rsidRDefault="009730E9">
            <w:pPr>
              <w:rPr>
                <w:rFonts w:cstheme="minorHAnsi"/>
                <w:i/>
                <w:iCs/>
                <w:color w:val="000000" w:themeColor="text1"/>
              </w:rPr>
            </w:pPr>
          </w:p>
          <w:p w14:paraId="775E0B1D" w14:textId="77777777" w:rsidR="00D25571" w:rsidRPr="00A32F08" w:rsidRDefault="003F1A7B" w:rsidP="00ED69DF">
            <w:pPr>
              <w:pStyle w:val="Odstavecseseznamem"/>
              <w:numPr>
                <w:ilvl w:val="0"/>
                <w:numId w:val="11"/>
              </w:numPr>
              <w:jc w:val="both"/>
              <w:rPr>
                <w:rFonts w:cstheme="minorHAnsi"/>
                <w:b/>
              </w:rPr>
            </w:pPr>
            <w:r w:rsidRPr="00A32F08">
              <w:rPr>
                <w:b/>
              </w:rPr>
              <w:t xml:space="preserve">Rozsudek Soudního dvora (velký senát), C-188/15, 14. května 2017, </w:t>
            </w:r>
            <w:proofErr w:type="spellStart"/>
            <w:r w:rsidRPr="00A32F08">
              <w:rPr>
                <w:b/>
                <w:i/>
                <w:iCs/>
              </w:rPr>
              <w:t>Asma</w:t>
            </w:r>
            <w:proofErr w:type="spellEnd"/>
            <w:r w:rsidRPr="00A32F08">
              <w:rPr>
                <w:b/>
                <w:i/>
                <w:iCs/>
              </w:rPr>
              <w:t xml:space="preserve"> </w:t>
            </w:r>
            <w:proofErr w:type="spellStart"/>
            <w:r w:rsidRPr="00A32F08">
              <w:rPr>
                <w:b/>
                <w:i/>
                <w:iCs/>
              </w:rPr>
              <w:t>Bougnaoui</w:t>
            </w:r>
            <w:proofErr w:type="spellEnd"/>
            <w:r w:rsidRPr="00A32F08">
              <w:rPr>
                <w:b/>
                <w:i/>
                <w:iCs/>
              </w:rPr>
              <w:t xml:space="preserve"> and </w:t>
            </w:r>
            <w:proofErr w:type="spellStart"/>
            <w:r w:rsidRPr="00A32F08">
              <w:rPr>
                <w:b/>
                <w:i/>
                <w:iCs/>
              </w:rPr>
              <w:t>Association</w:t>
            </w:r>
            <w:proofErr w:type="spellEnd"/>
            <w:r w:rsidRPr="00A32F08">
              <w:rPr>
                <w:b/>
                <w:i/>
                <w:iCs/>
              </w:rPr>
              <w:t xml:space="preserve"> de </w:t>
            </w:r>
            <w:proofErr w:type="spellStart"/>
            <w:r w:rsidRPr="00A32F08">
              <w:rPr>
                <w:b/>
                <w:i/>
                <w:iCs/>
              </w:rPr>
              <w:t>défense</w:t>
            </w:r>
            <w:proofErr w:type="spellEnd"/>
            <w:r w:rsidRPr="00A32F08">
              <w:rPr>
                <w:b/>
                <w:i/>
                <w:iCs/>
              </w:rPr>
              <w:t xml:space="preserve"> des </w:t>
            </w:r>
            <w:proofErr w:type="spellStart"/>
            <w:r w:rsidRPr="00A32F08">
              <w:rPr>
                <w:b/>
                <w:i/>
                <w:iCs/>
              </w:rPr>
              <w:t>droits</w:t>
            </w:r>
            <w:proofErr w:type="spellEnd"/>
            <w:r w:rsidRPr="00A32F08">
              <w:rPr>
                <w:b/>
                <w:i/>
                <w:iCs/>
              </w:rPr>
              <w:t xml:space="preserve"> de </w:t>
            </w:r>
            <w:proofErr w:type="spellStart"/>
            <w:r w:rsidRPr="00A32F08">
              <w:rPr>
                <w:b/>
                <w:i/>
                <w:iCs/>
              </w:rPr>
              <w:t>l’homme</w:t>
            </w:r>
            <w:proofErr w:type="spellEnd"/>
            <w:r w:rsidRPr="00A32F08">
              <w:rPr>
                <w:b/>
                <w:i/>
                <w:iCs/>
              </w:rPr>
              <w:t xml:space="preserve"> (ADDH) v. </w:t>
            </w:r>
            <w:proofErr w:type="spellStart"/>
            <w:r w:rsidRPr="00A32F08">
              <w:rPr>
                <w:b/>
                <w:i/>
                <w:iCs/>
              </w:rPr>
              <w:t>Micropole</w:t>
            </w:r>
            <w:proofErr w:type="spellEnd"/>
            <w:r w:rsidRPr="00A32F08">
              <w:rPr>
                <w:b/>
                <w:i/>
                <w:iCs/>
              </w:rPr>
              <w:t xml:space="preserve"> SA</w:t>
            </w:r>
          </w:p>
          <w:p w14:paraId="6DDD478D" w14:textId="77777777" w:rsidR="004A1F7A" w:rsidRDefault="004A1F7A" w:rsidP="004A1F7A">
            <w:pPr>
              <w:pStyle w:val="Odstavecseseznamem"/>
              <w:ind w:left="1695"/>
              <w:rPr>
                <w:rFonts w:cstheme="minorHAnsi"/>
              </w:rPr>
            </w:pPr>
          </w:p>
          <w:p w14:paraId="5D0EDB57" w14:textId="77777777" w:rsidR="00270563" w:rsidRDefault="00270563" w:rsidP="00270563">
            <w:pPr>
              <w:spacing w:after="240"/>
              <w:jc w:val="both"/>
            </w:pPr>
            <w:r>
              <w:rPr>
                <w:i/>
              </w:rPr>
              <w:t>Klíčové pojmy: svoboda náboženského vyznání</w:t>
            </w:r>
            <w:r w:rsidR="00D56DD0">
              <w:rPr>
                <w:i/>
              </w:rPr>
              <w:t xml:space="preserve"> a </w:t>
            </w:r>
            <w:r>
              <w:rPr>
                <w:i/>
              </w:rPr>
              <w:t>zákaz muslimských šátků – propuštění – podstatný</w:t>
            </w:r>
            <w:r w:rsidR="00D56DD0">
              <w:rPr>
                <w:i/>
              </w:rPr>
              <w:t xml:space="preserve"> a </w:t>
            </w:r>
            <w:r>
              <w:rPr>
                <w:i/>
              </w:rPr>
              <w:t xml:space="preserve">určující profesní požadavek – zásada přiměřenosti – </w:t>
            </w:r>
            <w:r w:rsidR="008772F9">
              <w:rPr>
                <w:i/>
              </w:rPr>
              <w:t>čl. </w:t>
            </w:r>
            <w:r>
              <w:rPr>
                <w:i/>
              </w:rPr>
              <w:t>4 odst. 1 směrnice 2000/78/ES</w:t>
            </w:r>
          </w:p>
          <w:p w14:paraId="1E0180D5" w14:textId="77777777" w:rsidR="006B4C7E" w:rsidRPr="00761868" w:rsidRDefault="00F52C40" w:rsidP="00240240">
            <w:pPr>
              <w:rPr>
                <w:rFonts w:eastAsia="Times New Roman" w:cstheme="minorHAnsi"/>
                <w:i/>
                <w:iCs/>
                <w:color w:val="343D55"/>
                <w:kern w:val="0"/>
              </w:rPr>
            </w:pPr>
            <w:hyperlink r:id="rId15" w:history="1">
              <w:r>
                <w:rPr>
                  <w:color w:val="0000FF"/>
                  <w:u w:val="single"/>
                </w:rPr>
                <w:t>EUR-</w:t>
              </w:r>
              <w:proofErr w:type="gramStart"/>
              <w:r>
                <w:rPr>
                  <w:color w:val="0000FF"/>
                  <w:u w:val="single"/>
                </w:rPr>
                <w:t>Lex - 62015CJ0188</w:t>
              </w:r>
              <w:proofErr w:type="gramEnd"/>
              <w:r>
                <w:rPr>
                  <w:color w:val="0000FF"/>
                  <w:u w:val="single"/>
                </w:rPr>
                <w:t xml:space="preserve"> - </w:t>
              </w:r>
              <w:proofErr w:type="gramStart"/>
              <w:r>
                <w:rPr>
                  <w:color w:val="0000FF"/>
                  <w:u w:val="single"/>
                </w:rPr>
                <w:t>EN - EUR</w:t>
              </w:r>
              <w:proofErr w:type="gramEnd"/>
              <w:r>
                <w:rPr>
                  <w:color w:val="0000FF"/>
                  <w:u w:val="single"/>
                </w:rPr>
                <w:t>-Lex (europa.eu)</w:t>
              </w:r>
            </w:hyperlink>
            <w:r>
              <w:t xml:space="preserve"> </w:t>
            </w:r>
          </w:p>
          <w:p w14:paraId="3AB83842" w14:textId="77777777" w:rsidR="009730E9" w:rsidRPr="00FC2D5E" w:rsidRDefault="009730E9">
            <w:pPr>
              <w:rPr>
                <w:rFonts w:cstheme="minorHAnsi"/>
                <w:i/>
                <w:iCs/>
                <w:color w:val="000000" w:themeColor="text1"/>
              </w:rPr>
            </w:pPr>
          </w:p>
          <w:p w14:paraId="4852FD64" w14:textId="77777777" w:rsidR="00B2109B" w:rsidRPr="00A32F08" w:rsidRDefault="00B2109B" w:rsidP="00B2109B">
            <w:pPr>
              <w:pStyle w:val="Odstavecseseznamem"/>
              <w:numPr>
                <w:ilvl w:val="0"/>
                <w:numId w:val="11"/>
              </w:numPr>
              <w:rPr>
                <w:rFonts w:cstheme="minorHAnsi"/>
                <w:b/>
              </w:rPr>
            </w:pPr>
            <w:r w:rsidRPr="00A32F08">
              <w:rPr>
                <w:b/>
              </w:rPr>
              <w:t xml:space="preserve">Rozsudek Soudního dvora (velký senát), C-157/15, 14. března 2017, </w:t>
            </w:r>
            <w:r w:rsidRPr="00A32F08">
              <w:rPr>
                <w:b/>
                <w:i/>
              </w:rPr>
              <w:t xml:space="preserve">G4S </w:t>
            </w:r>
            <w:proofErr w:type="spellStart"/>
            <w:r w:rsidRPr="00A32F08">
              <w:rPr>
                <w:b/>
                <w:i/>
              </w:rPr>
              <w:t>Secure</w:t>
            </w:r>
            <w:proofErr w:type="spellEnd"/>
            <w:r w:rsidRPr="00A32F08">
              <w:rPr>
                <w:b/>
                <w:i/>
              </w:rPr>
              <w:t xml:space="preserve"> </w:t>
            </w:r>
            <w:proofErr w:type="spellStart"/>
            <w:r w:rsidRPr="00A32F08">
              <w:rPr>
                <w:b/>
                <w:i/>
              </w:rPr>
              <w:t>Solutions</w:t>
            </w:r>
            <w:proofErr w:type="spellEnd"/>
          </w:p>
          <w:p w14:paraId="32CFAEC2" w14:textId="77777777" w:rsidR="00B2109B" w:rsidRDefault="00B2109B">
            <w:pPr>
              <w:rPr>
                <w:rFonts w:cstheme="minorHAnsi"/>
                <w:b/>
                <w:bCs/>
              </w:rPr>
            </w:pPr>
          </w:p>
          <w:p w14:paraId="6470229D" w14:textId="77777777" w:rsidR="006315EE" w:rsidRPr="00CE53DF" w:rsidRDefault="006315EE" w:rsidP="00ED69DF">
            <w:pPr>
              <w:jc w:val="both"/>
            </w:pPr>
            <w:r>
              <w:rPr>
                <w:i/>
              </w:rPr>
              <w:t>Klíčové pojmy: svoboda náboženského vyznání</w:t>
            </w:r>
            <w:r w:rsidR="00D56DD0">
              <w:rPr>
                <w:i/>
              </w:rPr>
              <w:t xml:space="preserve"> a </w:t>
            </w:r>
            <w:r>
              <w:rPr>
                <w:i/>
              </w:rPr>
              <w:t>zákaz muslimských šátků – legitimní cíl – zjevně neutrální povinnost – přímá</w:t>
            </w:r>
            <w:r w:rsidR="00D56DD0">
              <w:rPr>
                <w:i/>
              </w:rPr>
              <w:t xml:space="preserve"> a </w:t>
            </w:r>
            <w:r>
              <w:rPr>
                <w:i/>
              </w:rPr>
              <w:t xml:space="preserve">nepřímá diskriminace – </w:t>
            </w:r>
            <w:r w:rsidR="008772F9">
              <w:rPr>
                <w:i/>
              </w:rPr>
              <w:t>čl. </w:t>
            </w:r>
            <w:r>
              <w:rPr>
                <w:i/>
              </w:rPr>
              <w:t>2 odst. 2 bod a) směrnice 2000/78/ES</w:t>
            </w:r>
            <w:r>
              <w:t> </w:t>
            </w:r>
          </w:p>
          <w:p w14:paraId="3CECCE95" w14:textId="77777777" w:rsidR="006315EE" w:rsidRPr="00CE53DF" w:rsidRDefault="006315EE" w:rsidP="00CE53DF"/>
          <w:p w14:paraId="63BDF308" w14:textId="77777777" w:rsidR="00B2109B" w:rsidRDefault="00F52C40">
            <w:pPr>
              <w:rPr>
                <w:rFonts w:cstheme="minorHAnsi"/>
                <w:b/>
                <w:bCs/>
              </w:rPr>
            </w:pPr>
            <w:hyperlink r:id="rId16" w:history="1">
              <w:proofErr w:type="gramStart"/>
              <w:r>
                <w:rPr>
                  <w:color w:val="0000FF"/>
                  <w:u w:val="single"/>
                </w:rPr>
                <w:t xml:space="preserve">CURIA - </w:t>
              </w:r>
              <w:proofErr w:type="spellStart"/>
              <w:r>
                <w:rPr>
                  <w:color w:val="0000FF"/>
                  <w:u w:val="single"/>
                </w:rPr>
                <w:t>Documents</w:t>
              </w:r>
              <w:proofErr w:type="spellEnd"/>
              <w:proofErr w:type="gramEnd"/>
              <w:r>
                <w:rPr>
                  <w:color w:val="0000FF"/>
                  <w:u w:val="single"/>
                </w:rPr>
                <w:t xml:space="preserve"> (europa.eu)</w:t>
              </w:r>
            </w:hyperlink>
          </w:p>
          <w:p w14:paraId="09216FFF" w14:textId="77777777" w:rsidR="00B2109B" w:rsidRDefault="00B2109B">
            <w:pPr>
              <w:rPr>
                <w:rFonts w:cstheme="minorHAnsi"/>
                <w:b/>
                <w:bCs/>
              </w:rPr>
            </w:pPr>
          </w:p>
          <w:p w14:paraId="62D2474D" w14:textId="77777777" w:rsidR="00CA5340" w:rsidRDefault="00D15A4C">
            <w:pPr>
              <w:rPr>
                <w:rFonts w:cstheme="minorHAnsi"/>
                <w:b/>
                <w:bCs/>
              </w:rPr>
            </w:pPr>
            <w:r>
              <w:rPr>
                <w:b/>
              </w:rPr>
              <w:t>Další rozhodnutí</w:t>
            </w:r>
          </w:p>
          <w:p w14:paraId="3806419F" w14:textId="77777777" w:rsidR="00935DD9" w:rsidRPr="00491D96" w:rsidRDefault="00935DD9" w:rsidP="00491D96"/>
          <w:p w14:paraId="631032C6" w14:textId="77777777" w:rsidR="00491D96" w:rsidRPr="00A32F08" w:rsidRDefault="00935DD9" w:rsidP="00ED69DF">
            <w:pPr>
              <w:pStyle w:val="Odstavecseseznamem"/>
              <w:numPr>
                <w:ilvl w:val="0"/>
                <w:numId w:val="11"/>
              </w:numPr>
              <w:jc w:val="both"/>
              <w:rPr>
                <w:b/>
              </w:rPr>
            </w:pPr>
            <w:r w:rsidRPr="00A32F08">
              <w:rPr>
                <w:b/>
              </w:rPr>
              <w:t xml:space="preserve">Rozsudek Soudního dvora (velký senát), C-426/16, 29. května 2018, </w:t>
            </w:r>
            <w:r w:rsidRPr="00A32F08">
              <w:rPr>
                <w:b/>
                <w:i/>
                <w:iCs/>
              </w:rPr>
              <w:t xml:space="preserve">Liga van </w:t>
            </w:r>
            <w:proofErr w:type="spellStart"/>
            <w:r w:rsidRPr="00A32F08">
              <w:rPr>
                <w:b/>
                <w:i/>
                <w:iCs/>
              </w:rPr>
              <w:t>Moskeeën</w:t>
            </w:r>
            <w:proofErr w:type="spellEnd"/>
            <w:r w:rsidRPr="00A32F08">
              <w:rPr>
                <w:b/>
                <w:i/>
                <w:iCs/>
              </w:rPr>
              <w:t xml:space="preserve"> en </w:t>
            </w:r>
            <w:proofErr w:type="spellStart"/>
            <w:r w:rsidRPr="00A32F08">
              <w:rPr>
                <w:b/>
                <w:i/>
                <w:iCs/>
              </w:rPr>
              <w:t>Islamitische</w:t>
            </w:r>
            <w:proofErr w:type="spellEnd"/>
            <w:r w:rsidRPr="00A32F08">
              <w:rPr>
                <w:b/>
                <w:i/>
                <w:iCs/>
              </w:rPr>
              <w:t xml:space="preserve"> </w:t>
            </w:r>
            <w:proofErr w:type="spellStart"/>
            <w:r w:rsidRPr="00A32F08">
              <w:rPr>
                <w:b/>
                <w:i/>
                <w:iCs/>
              </w:rPr>
              <w:t>Organisaties</w:t>
            </w:r>
            <w:proofErr w:type="spellEnd"/>
            <w:r w:rsidRPr="00A32F08">
              <w:rPr>
                <w:b/>
                <w:i/>
                <w:iCs/>
              </w:rPr>
              <w:t xml:space="preserve"> Provincie </w:t>
            </w:r>
            <w:proofErr w:type="spellStart"/>
            <w:r w:rsidRPr="00A32F08">
              <w:rPr>
                <w:b/>
                <w:i/>
                <w:iCs/>
              </w:rPr>
              <w:t>Antwerpen</w:t>
            </w:r>
            <w:proofErr w:type="spellEnd"/>
            <w:r w:rsidRPr="00A32F08">
              <w:rPr>
                <w:b/>
                <w:i/>
                <w:iCs/>
              </w:rPr>
              <w:t xml:space="preserve"> VZW</w:t>
            </w:r>
            <w:r w:rsidR="00D56DD0">
              <w:rPr>
                <w:b/>
                <w:i/>
                <w:iCs/>
              </w:rPr>
              <w:t xml:space="preserve"> </w:t>
            </w:r>
            <w:r w:rsidR="00D56DD0" w:rsidRPr="00A32F08">
              <w:rPr>
                <w:b/>
                <w:i/>
                <w:iCs/>
              </w:rPr>
              <w:t>a</w:t>
            </w:r>
            <w:r w:rsidR="00D56DD0">
              <w:rPr>
                <w:b/>
                <w:i/>
                <w:iCs/>
              </w:rPr>
              <w:t> </w:t>
            </w:r>
            <w:r w:rsidRPr="00A32F08">
              <w:rPr>
                <w:b/>
                <w:i/>
                <w:iCs/>
              </w:rPr>
              <w:t xml:space="preserve">další v. </w:t>
            </w:r>
            <w:proofErr w:type="spellStart"/>
            <w:r w:rsidRPr="00A32F08">
              <w:rPr>
                <w:b/>
                <w:i/>
                <w:iCs/>
              </w:rPr>
              <w:t>Vlaams</w:t>
            </w:r>
            <w:proofErr w:type="spellEnd"/>
            <w:r w:rsidRPr="00A32F08">
              <w:rPr>
                <w:b/>
                <w:i/>
                <w:iCs/>
              </w:rPr>
              <w:t xml:space="preserve"> </w:t>
            </w:r>
            <w:proofErr w:type="spellStart"/>
            <w:r w:rsidRPr="00A32F08">
              <w:rPr>
                <w:b/>
                <w:i/>
                <w:iCs/>
              </w:rPr>
              <w:t>Gewest</w:t>
            </w:r>
            <w:proofErr w:type="spellEnd"/>
          </w:p>
          <w:p w14:paraId="7F78B0BD" w14:textId="77777777" w:rsidR="00D15A4C" w:rsidRDefault="00D15A4C">
            <w:pPr>
              <w:rPr>
                <w:rFonts w:cstheme="minorHAnsi"/>
                <w:b/>
                <w:bCs/>
              </w:rPr>
            </w:pPr>
          </w:p>
          <w:p w14:paraId="5421488E" w14:textId="77777777" w:rsidR="00A75D90" w:rsidRPr="00DB43A2" w:rsidRDefault="001F6070" w:rsidP="00DB43A2">
            <w:pPr>
              <w:jc w:val="both"/>
            </w:pPr>
            <w:r>
              <w:rPr>
                <w:i/>
                <w:iCs/>
              </w:rPr>
              <w:t xml:space="preserve">Klíčové pojmy: náboženské rituály – zvláštní metody pro porážku předepsané náboženskými obřady – omezení svobody náboženského vyznání – ochrana dobrých životních podmínek zvířat je hlavní cíl sledovaný nařízením – </w:t>
            </w:r>
            <w:r w:rsidR="008772F9">
              <w:rPr>
                <w:i/>
                <w:iCs/>
              </w:rPr>
              <w:t>čl. </w:t>
            </w:r>
            <w:r>
              <w:rPr>
                <w:i/>
                <w:iCs/>
              </w:rPr>
              <w:t xml:space="preserve">4 nařízení </w:t>
            </w:r>
            <w:r w:rsidR="008772F9">
              <w:rPr>
                <w:i/>
                <w:iCs/>
              </w:rPr>
              <w:t>č. </w:t>
            </w:r>
            <w:r>
              <w:rPr>
                <w:i/>
                <w:iCs/>
              </w:rPr>
              <w:t>1099/2009</w:t>
            </w:r>
            <w:r>
              <w:t xml:space="preserve"> </w:t>
            </w:r>
          </w:p>
          <w:p w14:paraId="1BE96035" w14:textId="77777777" w:rsidR="00D15A4C" w:rsidRPr="00F00B27" w:rsidRDefault="004144B3" w:rsidP="00F00B27">
            <w:r>
              <w:t> </w:t>
            </w:r>
          </w:p>
          <w:p w14:paraId="631C84F4" w14:textId="77777777" w:rsidR="00D15A4C" w:rsidRPr="00F00B27" w:rsidRDefault="00F52C40" w:rsidP="00F00B27">
            <w:hyperlink r:id="rId17" w:history="1">
              <w:r>
                <w:rPr>
                  <w:color w:val="0000FF"/>
                  <w:u w:val="single"/>
                </w:rPr>
                <w:t>EUR-</w:t>
              </w:r>
              <w:proofErr w:type="gramStart"/>
              <w:r>
                <w:rPr>
                  <w:color w:val="0000FF"/>
                  <w:u w:val="single"/>
                </w:rPr>
                <w:t>Lex - 62016CJ0426</w:t>
              </w:r>
              <w:proofErr w:type="gramEnd"/>
              <w:r>
                <w:rPr>
                  <w:color w:val="0000FF"/>
                  <w:u w:val="single"/>
                </w:rPr>
                <w:t xml:space="preserve"> - </w:t>
              </w:r>
              <w:proofErr w:type="gramStart"/>
              <w:r>
                <w:rPr>
                  <w:color w:val="0000FF"/>
                  <w:u w:val="single"/>
                </w:rPr>
                <w:t>EN - EUR</w:t>
              </w:r>
              <w:proofErr w:type="gramEnd"/>
              <w:r>
                <w:rPr>
                  <w:color w:val="0000FF"/>
                  <w:u w:val="single"/>
                </w:rPr>
                <w:t>-Lex (europa.eu)</w:t>
              </w:r>
            </w:hyperlink>
          </w:p>
          <w:p w14:paraId="58256B37" w14:textId="77777777" w:rsidR="00D15A4C" w:rsidRDefault="00D15A4C">
            <w:pPr>
              <w:rPr>
                <w:rFonts w:cstheme="minorHAnsi"/>
                <w:i/>
                <w:iCs/>
              </w:rPr>
            </w:pPr>
          </w:p>
          <w:p w14:paraId="2E8F105F" w14:textId="77777777" w:rsidR="00D15A4C" w:rsidRPr="00A32F08" w:rsidRDefault="00E66541" w:rsidP="000D0D3A">
            <w:pPr>
              <w:pStyle w:val="Odstavecseseznamem"/>
              <w:numPr>
                <w:ilvl w:val="0"/>
                <w:numId w:val="11"/>
              </w:numPr>
              <w:rPr>
                <w:rFonts w:cstheme="minorHAnsi"/>
                <w:b/>
                <w:i/>
                <w:iCs/>
              </w:rPr>
            </w:pPr>
            <w:r w:rsidRPr="00A32F08">
              <w:rPr>
                <w:b/>
              </w:rPr>
              <w:t>Rozsudek Soudního dvora (velký senát), C-71/11</w:t>
            </w:r>
            <w:r w:rsidR="00D56DD0">
              <w:rPr>
                <w:b/>
              </w:rPr>
              <w:t xml:space="preserve"> </w:t>
            </w:r>
            <w:r w:rsidR="00D56DD0" w:rsidRPr="00A32F08">
              <w:rPr>
                <w:b/>
              </w:rPr>
              <w:t>a</w:t>
            </w:r>
            <w:r w:rsidR="00D56DD0">
              <w:rPr>
                <w:b/>
              </w:rPr>
              <w:t> </w:t>
            </w:r>
            <w:r w:rsidRPr="00A32F08">
              <w:rPr>
                <w:b/>
              </w:rPr>
              <w:t xml:space="preserve">C-99/11, 5. září 2012, </w:t>
            </w:r>
            <w:r w:rsidRPr="00A32F08">
              <w:rPr>
                <w:b/>
                <w:i/>
              </w:rPr>
              <w:t>Y, Z</w:t>
            </w:r>
          </w:p>
          <w:p w14:paraId="4173DBDC" w14:textId="77777777" w:rsidR="001F6070" w:rsidRPr="008F25E8" w:rsidRDefault="001F6070" w:rsidP="001F6070">
            <w:pPr>
              <w:pStyle w:val="Odstavecseseznamem"/>
              <w:ind w:left="1695"/>
              <w:rPr>
                <w:rFonts w:cstheme="minorHAnsi"/>
                <w:i/>
                <w:iCs/>
              </w:rPr>
            </w:pPr>
          </w:p>
          <w:p w14:paraId="14C66E7A" w14:textId="77777777" w:rsidR="00F67BAA" w:rsidRDefault="00EF1D73" w:rsidP="00345DA8">
            <w:pPr>
              <w:jc w:val="both"/>
            </w:pPr>
            <w:r>
              <w:rPr>
                <w:i/>
                <w:iCs/>
              </w:rPr>
              <w:t>Klíčové pojmy</w:t>
            </w:r>
            <w:r>
              <w:t xml:space="preserve">: </w:t>
            </w:r>
            <w:r>
              <w:rPr>
                <w:i/>
                <w:iCs/>
              </w:rPr>
              <w:t>uprchlík</w:t>
            </w:r>
            <w:r w:rsidR="00D56DD0">
              <w:rPr>
                <w:i/>
                <w:iCs/>
              </w:rPr>
              <w:t xml:space="preserve"> a </w:t>
            </w:r>
            <w:r>
              <w:rPr>
                <w:i/>
                <w:iCs/>
              </w:rPr>
              <w:t xml:space="preserve">svoboda náboženského vyznání – akt pronásledování – přiznání postavení uprchlíka – </w:t>
            </w:r>
            <w:r w:rsidR="008772F9">
              <w:rPr>
                <w:i/>
                <w:iCs/>
              </w:rPr>
              <w:t>čl. </w:t>
            </w:r>
            <w:r>
              <w:rPr>
                <w:i/>
                <w:iCs/>
              </w:rPr>
              <w:t>2 písm. d) směrnice 2004/83/ES ze dne 29. dubna 2004</w:t>
            </w:r>
          </w:p>
          <w:p w14:paraId="1B88F2D9" w14:textId="77777777" w:rsidR="00345DA8" w:rsidRDefault="00345DA8" w:rsidP="001C5D03">
            <w:pPr>
              <w:jc w:val="both"/>
            </w:pPr>
          </w:p>
          <w:p w14:paraId="6FD92EF8" w14:textId="77777777" w:rsidR="00F760AF" w:rsidRDefault="00270563" w:rsidP="001C5D03">
            <w:pPr>
              <w:jc w:val="both"/>
            </w:pPr>
            <w:hyperlink r:id="rId18" w:history="1">
              <w:r>
                <w:rPr>
                  <w:color w:val="0000FF"/>
                  <w:u w:val="single"/>
                </w:rPr>
                <w:t>CURIA –</w:t>
              </w:r>
              <w:r w:rsidR="00F52C40">
                <w:rPr>
                  <w:color w:val="0000FF"/>
                  <w:u w:val="single"/>
                </w:rPr>
                <w:t xml:space="preserve"> </w:t>
              </w:r>
              <w:proofErr w:type="spellStart"/>
              <w:r w:rsidR="00F52C40">
                <w:rPr>
                  <w:color w:val="0000FF"/>
                  <w:u w:val="single"/>
                </w:rPr>
                <w:t>Documents</w:t>
              </w:r>
              <w:proofErr w:type="spellEnd"/>
              <w:r w:rsidR="00F52C40">
                <w:rPr>
                  <w:color w:val="0000FF"/>
                  <w:u w:val="single"/>
                </w:rPr>
                <w:t xml:space="preserve"> (europa.eu)</w:t>
              </w:r>
            </w:hyperlink>
          </w:p>
          <w:p w14:paraId="159293B7" w14:textId="77777777" w:rsidR="009163AA" w:rsidRDefault="009163AA">
            <w:pPr>
              <w:rPr>
                <w:rFonts w:cstheme="minorHAnsi"/>
                <w:i/>
                <w:iCs/>
              </w:rPr>
            </w:pPr>
          </w:p>
          <w:p w14:paraId="0AA3F55E" w14:textId="77777777" w:rsidR="009163AA" w:rsidRDefault="009163AA">
            <w:pPr>
              <w:rPr>
                <w:rFonts w:cstheme="minorHAnsi"/>
                <w:i/>
                <w:iCs/>
              </w:rPr>
            </w:pPr>
          </w:p>
          <w:p w14:paraId="1D1BE747" w14:textId="77777777" w:rsidR="005E06B1" w:rsidRDefault="005E06B1">
            <w:pPr>
              <w:rPr>
                <w:rFonts w:cstheme="minorHAnsi"/>
                <w:i/>
                <w:iCs/>
              </w:rPr>
            </w:pPr>
          </w:p>
          <w:p w14:paraId="3339811D" w14:textId="77777777" w:rsidR="005E06B1" w:rsidRPr="00FC2D5E" w:rsidRDefault="005E06B1">
            <w:pPr>
              <w:rPr>
                <w:rFonts w:cstheme="minorHAnsi"/>
                <w:i/>
                <w:iCs/>
              </w:rPr>
            </w:pPr>
          </w:p>
        </w:tc>
      </w:tr>
      <w:tr w:rsidR="00CA5340" w:rsidRPr="00707DDA" w14:paraId="63B670EF" w14:textId="77777777" w:rsidTr="00541A2A">
        <w:tc>
          <w:tcPr>
            <w:tcW w:w="8494" w:type="dxa"/>
          </w:tcPr>
          <w:p w14:paraId="66F920C3" w14:textId="77777777" w:rsidR="00CA5340" w:rsidRDefault="00CA5340" w:rsidP="00541A2A">
            <w:pPr>
              <w:rPr>
                <w:rFonts w:ascii="Calibri" w:hAnsi="Calibri" w:cs="Calibri"/>
                <w:b/>
                <w:bCs/>
              </w:rPr>
            </w:pPr>
            <w:r>
              <w:rPr>
                <w:rFonts w:ascii="Calibri" w:hAnsi="Calibri"/>
                <w:b/>
              </w:rPr>
              <w:lastRenderedPageBreak/>
              <w:t>Důležité</w:t>
            </w:r>
          </w:p>
          <w:p w14:paraId="7E6AD691" w14:textId="77777777" w:rsidR="00E23BEC" w:rsidRPr="00707DDA" w:rsidRDefault="00E23BEC" w:rsidP="00541A2A">
            <w:pPr>
              <w:rPr>
                <w:rFonts w:ascii="Calibri" w:hAnsi="Calibri" w:cs="Calibri"/>
                <w:b/>
                <w:bCs/>
              </w:rPr>
            </w:pPr>
          </w:p>
        </w:tc>
      </w:tr>
      <w:tr w:rsidR="00CA5340" w:rsidRPr="00707DDA" w14:paraId="139C2849" w14:textId="77777777" w:rsidTr="00541A2A">
        <w:tc>
          <w:tcPr>
            <w:tcW w:w="8494" w:type="dxa"/>
          </w:tcPr>
          <w:p w14:paraId="69176F31" w14:textId="77777777" w:rsidR="00A173BD" w:rsidRPr="00793A2B" w:rsidRDefault="00FC63D0" w:rsidP="00A173BD">
            <w:pPr>
              <w:jc w:val="both"/>
            </w:pPr>
            <w:r>
              <w:t>Otázky týkající se svobody myšlení, náboženského vyznání</w:t>
            </w:r>
            <w:r w:rsidR="00D56DD0">
              <w:t xml:space="preserve"> a </w:t>
            </w:r>
            <w:r>
              <w:t>svědomí musí být zkoumány napříč všemi mezinárodními dokumenty na ochranu základních práv, jelikož unijní právo má</w:t>
            </w:r>
            <w:r w:rsidR="00D56DD0">
              <w:t xml:space="preserve"> v </w:t>
            </w:r>
            <w:r>
              <w:t>této oblasti nižší rozsah použitelnosti. Listiny se lze dovolávat zejména</w:t>
            </w:r>
            <w:r w:rsidR="00D56DD0">
              <w:t xml:space="preserve"> v </w:t>
            </w:r>
            <w:r>
              <w:t>pracovním právu. Tato svoboda není posuzována nebo vykládána mezinárodními soudy</w:t>
            </w:r>
            <w:r w:rsidR="00D56DD0">
              <w:t xml:space="preserve"> a </w:t>
            </w:r>
            <w:r>
              <w:t>výbory stejně, neboť se po celém svět</w:t>
            </w:r>
            <w:r w:rsidR="009163AA">
              <w:t>ě</w:t>
            </w:r>
            <w:r>
              <w:t xml:space="preserve"> definuje</w:t>
            </w:r>
            <w:r w:rsidR="00D56DD0">
              <w:t xml:space="preserve"> a </w:t>
            </w:r>
            <w:r>
              <w:t>interpretuje různě. Advokát musí nejprve určit nejlepší strategii,</w:t>
            </w:r>
            <w:r w:rsidR="00D56DD0">
              <w:t xml:space="preserve"> a </w:t>
            </w:r>
            <w:r>
              <w:t>tedy</w:t>
            </w:r>
            <w:r w:rsidR="00D56DD0">
              <w:t xml:space="preserve"> i </w:t>
            </w:r>
            <w:r>
              <w:t>mezinárodní normu, na níž založí své podání.</w:t>
            </w:r>
            <w:r w:rsidR="00D56DD0">
              <w:t xml:space="preserve"> S </w:t>
            </w:r>
            <w:r>
              <w:t>ohledem na povahu sporu, jeho předmět</w:t>
            </w:r>
            <w:r w:rsidR="00D56DD0">
              <w:t xml:space="preserve"> a </w:t>
            </w:r>
            <w:r>
              <w:t>použitelné vnitrostátní právo musí advokát nejprve určit, zda je dána možnost aplikace unijního práva; pokud nikoli, může použít EÚLP nebo Mezinárodní pakt</w:t>
            </w:r>
            <w:r w:rsidR="00D56DD0">
              <w:t xml:space="preserve"> o </w:t>
            </w:r>
            <w:r>
              <w:t>občanských</w:t>
            </w:r>
            <w:r w:rsidR="00D56DD0">
              <w:t xml:space="preserve"> a </w:t>
            </w:r>
            <w:r>
              <w:t>politických právech.</w:t>
            </w:r>
          </w:p>
          <w:p w14:paraId="431199FF" w14:textId="77777777" w:rsidR="00FC63D0" w:rsidRDefault="00FC63D0" w:rsidP="00AE7309">
            <w:pPr>
              <w:jc w:val="both"/>
              <w:rPr>
                <w:lang w:eastAsia="fr-FR"/>
              </w:rPr>
            </w:pPr>
          </w:p>
          <w:p w14:paraId="154D9465" w14:textId="77777777" w:rsidR="008C32DC" w:rsidRDefault="008C32DC" w:rsidP="008C32DC">
            <w:pPr>
              <w:jc w:val="both"/>
            </w:pPr>
            <w:r>
              <w:t>Článek 10 Listiny je Soudním dvorem vykládán</w:t>
            </w:r>
            <w:r w:rsidR="00D56DD0">
              <w:t xml:space="preserve"> s </w:t>
            </w:r>
            <w:r>
              <w:t>ohledem na další ustanovení Listiny nebo na úmluvy</w:t>
            </w:r>
            <w:r w:rsidR="00D56DD0">
              <w:t xml:space="preserve"> a </w:t>
            </w:r>
            <w:r>
              <w:t>sekundární unijní právo týkající se obecných otázek diskriminace. Advokát musí určit, jak svou argumentaci na všechny tyto normy navázat.</w:t>
            </w:r>
          </w:p>
          <w:p w14:paraId="5C42A87A" w14:textId="77777777" w:rsidR="008B706D" w:rsidRDefault="008B706D" w:rsidP="008C32DC">
            <w:pPr>
              <w:jc w:val="both"/>
              <w:rPr>
                <w:lang w:eastAsia="fr-FR"/>
              </w:rPr>
            </w:pPr>
          </w:p>
          <w:p w14:paraId="04463C98" w14:textId="77777777" w:rsidR="00DE7361" w:rsidRDefault="0014056C" w:rsidP="00AF66B9">
            <w:pPr>
              <w:jc w:val="both"/>
            </w:pPr>
            <w:r>
              <w:t>Musí-li advokát použít Listinu</w:t>
            </w:r>
            <w:r w:rsidR="00D56DD0">
              <w:t xml:space="preserve"> a </w:t>
            </w:r>
            <w:r>
              <w:t>evropské právo, je důležité ještě před vnitrostátním soudem definovat předběžnou otázku, jejíž zodpovězení má být od Soudního dvora vyžádáno.</w:t>
            </w:r>
          </w:p>
          <w:p w14:paraId="158F58C1" w14:textId="77777777" w:rsidR="00DE7361" w:rsidRDefault="00DE7361" w:rsidP="00F52929">
            <w:pPr>
              <w:rPr>
                <w:lang w:eastAsia="fr-FR"/>
              </w:rPr>
            </w:pPr>
          </w:p>
          <w:p w14:paraId="374CAD2B" w14:textId="77777777" w:rsidR="00F52929" w:rsidRPr="00707DDA" w:rsidRDefault="00F52929" w:rsidP="00541A2A">
            <w:pPr>
              <w:rPr>
                <w:rFonts w:ascii="Calibri" w:hAnsi="Calibri" w:cs="Calibri"/>
                <w:i/>
                <w:iCs/>
              </w:rPr>
            </w:pPr>
          </w:p>
        </w:tc>
      </w:tr>
      <w:tr w:rsidR="00CA5340" w:rsidRPr="00707DDA" w14:paraId="7C6963F1" w14:textId="77777777" w:rsidTr="00541A2A">
        <w:tc>
          <w:tcPr>
            <w:tcW w:w="8494" w:type="dxa"/>
          </w:tcPr>
          <w:p w14:paraId="68C22DF1" w14:textId="77777777" w:rsidR="00CA5340" w:rsidRPr="00707DDA" w:rsidRDefault="00CA5340" w:rsidP="00541A2A">
            <w:pPr>
              <w:rPr>
                <w:rFonts w:ascii="Calibri" w:hAnsi="Calibri" w:cs="Calibri"/>
                <w:b/>
                <w:bCs/>
              </w:rPr>
            </w:pPr>
            <w:r>
              <w:rPr>
                <w:rFonts w:ascii="Calibri" w:hAnsi="Calibri"/>
                <w:b/>
              </w:rPr>
              <w:t>Soulad</w:t>
            </w:r>
            <w:r w:rsidR="00D56DD0">
              <w:rPr>
                <w:rFonts w:ascii="Calibri" w:hAnsi="Calibri"/>
                <w:b/>
              </w:rPr>
              <w:t xml:space="preserve"> s </w:t>
            </w:r>
            <w:r>
              <w:rPr>
                <w:rFonts w:ascii="Calibri" w:hAnsi="Calibri"/>
                <w:b/>
              </w:rPr>
              <w:t>dalšími evropskými/mezinárodními dokumenty</w:t>
            </w:r>
          </w:p>
        </w:tc>
      </w:tr>
      <w:tr w:rsidR="00CA5340" w:rsidRPr="00707DDA" w14:paraId="51591BB7" w14:textId="77777777" w:rsidTr="00541A2A">
        <w:tc>
          <w:tcPr>
            <w:tcW w:w="8494" w:type="dxa"/>
          </w:tcPr>
          <w:p w14:paraId="722C1C3E" w14:textId="77777777" w:rsidR="007F23A2" w:rsidRDefault="007F23A2" w:rsidP="00707DDA">
            <w:pPr>
              <w:jc w:val="both"/>
            </w:pPr>
          </w:p>
          <w:p w14:paraId="214474EE" w14:textId="77777777" w:rsidR="007F23A2" w:rsidRPr="00CD5BD1" w:rsidRDefault="007F23A2" w:rsidP="00707DDA">
            <w:pPr>
              <w:jc w:val="both"/>
              <w:rPr>
                <w:b/>
                <w:bCs/>
              </w:rPr>
            </w:pPr>
            <w:r>
              <w:rPr>
                <w:b/>
              </w:rPr>
              <w:t>EÚLP: článek 9</w:t>
            </w:r>
          </w:p>
          <w:p w14:paraId="5A46926B" w14:textId="77777777" w:rsidR="00CD5BD1" w:rsidRDefault="00CD5BD1" w:rsidP="00707DDA">
            <w:pPr>
              <w:jc w:val="both"/>
            </w:pPr>
          </w:p>
          <w:p w14:paraId="606C0968" w14:textId="77777777" w:rsidR="009E7430" w:rsidRDefault="00CF42BE" w:rsidP="00707DDA">
            <w:pPr>
              <w:jc w:val="both"/>
            </w:pPr>
            <w:r>
              <w:t>Právo zaručené</w:t>
            </w:r>
            <w:r w:rsidR="00D56DD0">
              <w:t xml:space="preserve"> v </w:t>
            </w:r>
            <w:r>
              <w:t>odst. 1 odpovídá právu zakotvenému</w:t>
            </w:r>
            <w:r w:rsidR="00D56DD0">
              <w:t xml:space="preserve"> v </w:t>
            </w:r>
            <w:r>
              <w:t>článku 9 EÚLP</w:t>
            </w:r>
            <w:r w:rsidR="00D56DD0">
              <w:t xml:space="preserve"> a </w:t>
            </w:r>
            <w:r>
              <w:t>v souladu</w:t>
            </w:r>
            <w:r w:rsidR="00D56DD0">
              <w:t xml:space="preserve"> s </w:t>
            </w:r>
            <w:r w:rsidR="008772F9">
              <w:t>čl. </w:t>
            </w:r>
            <w:r>
              <w:t>52 odst. 3 Listiny má stejný význam</w:t>
            </w:r>
            <w:r w:rsidR="00D56DD0">
              <w:t xml:space="preserve"> a </w:t>
            </w:r>
            <w:r>
              <w:t>rozsah:</w:t>
            </w:r>
          </w:p>
          <w:p w14:paraId="2BB1C242" w14:textId="77777777" w:rsidR="00270563" w:rsidRDefault="00270563" w:rsidP="00707DDA">
            <w:pPr>
              <w:jc w:val="both"/>
            </w:pPr>
          </w:p>
          <w:p w14:paraId="5D7631E5" w14:textId="77777777" w:rsidR="00583155" w:rsidRPr="006855A1" w:rsidRDefault="00583155" w:rsidP="00705F31">
            <w:pPr>
              <w:jc w:val="both"/>
              <w:rPr>
                <w:i/>
                <w:iCs/>
              </w:rPr>
            </w:pPr>
            <w:r>
              <w:t xml:space="preserve">„1. </w:t>
            </w:r>
            <w:r>
              <w:rPr>
                <w:i/>
                <w:iCs/>
              </w:rPr>
              <w:t>Každý má právo na svobodu myšlení, svědomí</w:t>
            </w:r>
            <w:r w:rsidR="00D56DD0">
              <w:rPr>
                <w:i/>
                <w:iCs/>
              </w:rPr>
              <w:t xml:space="preserve"> a </w:t>
            </w:r>
            <w:r>
              <w:rPr>
                <w:i/>
                <w:iCs/>
              </w:rPr>
              <w:t>náboženského vyznání. Toto právo zahrnuje svobodu změnit své náboženské vyznání nebo přesvědčení, jakož</w:t>
            </w:r>
            <w:r w:rsidR="00D56DD0">
              <w:rPr>
                <w:i/>
                <w:iCs/>
              </w:rPr>
              <w:t xml:space="preserve"> i </w:t>
            </w:r>
            <w:r>
              <w:rPr>
                <w:i/>
                <w:iCs/>
              </w:rPr>
              <w:t>svobodu projevovat své náboženské vyznání nebo přesvědčení sám nebo společně</w:t>
            </w:r>
            <w:r w:rsidR="00D56DD0">
              <w:rPr>
                <w:i/>
                <w:iCs/>
              </w:rPr>
              <w:t xml:space="preserve"> s </w:t>
            </w:r>
            <w:r>
              <w:rPr>
                <w:i/>
                <w:iCs/>
              </w:rPr>
              <w:t>jinými, ať veřejně nebo soukromě, bohoslužbou, vyučováním, prováděním úkonů</w:t>
            </w:r>
            <w:r w:rsidR="00D56DD0">
              <w:rPr>
                <w:i/>
                <w:iCs/>
              </w:rPr>
              <w:t xml:space="preserve"> a </w:t>
            </w:r>
            <w:r>
              <w:rPr>
                <w:i/>
                <w:iCs/>
              </w:rPr>
              <w:t>zachováváním obřadů.“</w:t>
            </w:r>
          </w:p>
          <w:p w14:paraId="1A6508D1" w14:textId="77777777" w:rsidR="009E7430" w:rsidRDefault="009E7430" w:rsidP="00707DDA">
            <w:pPr>
              <w:jc w:val="both"/>
            </w:pPr>
          </w:p>
          <w:p w14:paraId="310FFF9C" w14:textId="77777777" w:rsidR="004B7AC0" w:rsidRDefault="00CF42BE" w:rsidP="00705F31">
            <w:pPr>
              <w:jc w:val="both"/>
            </w:pPr>
            <w:r>
              <w:t>Případná omezení proto musí být</w:t>
            </w:r>
            <w:r w:rsidR="00D56DD0">
              <w:t xml:space="preserve"> v </w:t>
            </w:r>
            <w:r>
              <w:t>souladu</w:t>
            </w:r>
            <w:r w:rsidR="00D56DD0">
              <w:t xml:space="preserve"> s </w:t>
            </w:r>
            <w:r w:rsidR="008772F9">
              <w:t>čl. </w:t>
            </w:r>
            <w:r>
              <w:t>9 odst. 2 Úmluvy, který zní takto: „</w:t>
            </w:r>
            <w:r>
              <w:rPr>
                <w:i/>
                <w:iCs/>
              </w:rPr>
              <w:t>Svoboda projevovat náboženské vyznání</w:t>
            </w:r>
            <w:r w:rsidR="00D56DD0">
              <w:rPr>
                <w:i/>
                <w:iCs/>
              </w:rPr>
              <w:t xml:space="preserve"> a </w:t>
            </w:r>
            <w:r>
              <w:rPr>
                <w:i/>
                <w:iCs/>
              </w:rPr>
              <w:t>přesvědčení může podléhat jen omezením, která jsou stanovena zákony</w:t>
            </w:r>
            <w:r w:rsidR="00D56DD0">
              <w:rPr>
                <w:i/>
                <w:iCs/>
              </w:rPr>
              <w:t xml:space="preserve"> a </w:t>
            </w:r>
            <w:r>
              <w:rPr>
                <w:i/>
                <w:iCs/>
              </w:rPr>
              <w:t>která jsou nezbytná</w:t>
            </w:r>
            <w:r w:rsidR="00D56DD0">
              <w:rPr>
                <w:i/>
                <w:iCs/>
              </w:rPr>
              <w:t xml:space="preserve"> v </w:t>
            </w:r>
            <w:r>
              <w:rPr>
                <w:i/>
                <w:iCs/>
              </w:rPr>
              <w:t>demokratické společnosti</w:t>
            </w:r>
            <w:r w:rsidR="00D56DD0">
              <w:rPr>
                <w:i/>
                <w:iCs/>
              </w:rPr>
              <w:t xml:space="preserve"> v </w:t>
            </w:r>
            <w:r>
              <w:rPr>
                <w:i/>
                <w:iCs/>
              </w:rPr>
              <w:t>zájmu veřejné bezpečnosti, ochrany veřejného pořádku, zdraví nebo morálky nebo ochrany práv</w:t>
            </w:r>
            <w:r w:rsidR="00D56DD0">
              <w:rPr>
                <w:i/>
                <w:iCs/>
              </w:rPr>
              <w:t xml:space="preserve"> a </w:t>
            </w:r>
            <w:r>
              <w:rPr>
                <w:i/>
                <w:iCs/>
              </w:rPr>
              <w:t>svobod jiných.“</w:t>
            </w:r>
            <w:r>
              <w:t xml:space="preserve"> </w:t>
            </w:r>
          </w:p>
          <w:p w14:paraId="4DCDDAAA" w14:textId="77777777" w:rsidR="00875600" w:rsidRPr="00170954" w:rsidRDefault="00875600" w:rsidP="00705F31">
            <w:pPr>
              <w:jc w:val="both"/>
              <w:rPr>
                <w:lang w:eastAsia="fr-FR"/>
              </w:rPr>
            </w:pPr>
          </w:p>
          <w:p w14:paraId="6D4A812C" w14:textId="77777777" w:rsidR="004B7AC0" w:rsidRPr="00170954" w:rsidRDefault="00F52C40" w:rsidP="007F23A2">
            <w:hyperlink r:id="rId19" w:tgtFrame="_blank" w:history="1">
              <w:r>
                <w:rPr>
                  <w:rStyle w:val="Hypertextovodkaz"/>
                </w:rPr>
                <w:t>Evropská úmluva</w:t>
              </w:r>
              <w:r w:rsidR="00D56DD0">
                <w:rPr>
                  <w:rStyle w:val="Hypertextovodkaz"/>
                </w:rPr>
                <w:t xml:space="preserve"> o </w:t>
              </w:r>
              <w:r>
                <w:rPr>
                  <w:rStyle w:val="Hypertextovodkaz"/>
                </w:rPr>
                <w:t>lidských právech (EÚLP)</w:t>
              </w:r>
            </w:hyperlink>
          </w:p>
          <w:p w14:paraId="5E4A77E2" w14:textId="77777777" w:rsidR="004B7AC0" w:rsidRDefault="004B7AC0" w:rsidP="00541A2A">
            <w:pPr>
              <w:rPr>
                <w:rFonts w:ascii="Segoe UI" w:eastAsia="Times New Roman" w:hAnsi="Segoe UI" w:cs="Segoe UI"/>
                <w:color w:val="343D55"/>
                <w:kern w:val="0"/>
                <w:lang w:eastAsia="fr-FR"/>
              </w:rPr>
            </w:pPr>
          </w:p>
          <w:p w14:paraId="69E5FF87" w14:textId="77777777" w:rsidR="008812EC" w:rsidRDefault="00CD5BD1" w:rsidP="008812EC">
            <w:pPr>
              <w:rPr>
                <w:b/>
                <w:bCs/>
              </w:rPr>
            </w:pPr>
            <w:r>
              <w:rPr>
                <w:b/>
              </w:rPr>
              <w:t>ICCPR: článek 18</w:t>
            </w:r>
          </w:p>
          <w:p w14:paraId="3788C37F" w14:textId="77777777" w:rsidR="0082738C" w:rsidRPr="008812EC" w:rsidRDefault="0082738C" w:rsidP="008812EC">
            <w:pPr>
              <w:rPr>
                <w:b/>
                <w:bCs/>
                <w:lang w:eastAsia="fr-FR"/>
              </w:rPr>
            </w:pPr>
          </w:p>
          <w:p w14:paraId="14C0B6BB" w14:textId="77777777" w:rsidR="008812EC" w:rsidRDefault="00660C59" w:rsidP="008812EC">
            <w:pPr>
              <w:jc w:val="both"/>
              <w:rPr>
                <w:i/>
              </w:rPr>
            </w:pPr>
            <w:r>
              <w:rPr>
                <w:i/>
              </w:rPr>
              <w:t>„1. Každý má právo na svobodu myšlení, svědomí</w:t>
            </w:r>
            <w:r w:rsidR="00D56DD0">
              <w:rPr>
                <w:i/>
              </w:rPr>
              <w:t xml:space="preserve"> a </w:t>
            </w:r>
            <w:r>
              <w:rPr>
                <w:i/>
              </w:rPr>
              <w:t>náboženství. Toto právo zahrnuje</w:t>
            </w:r>
            <w:r w:rsidR="00D56DD0">
              <w:rPr>
                <w:i/>
              </w:rPr>
              <w:t xml:space="preserve"> v </w:t>
            </w:r>
            <w:r>
              <w:rPr>
                <w:i/>
              </w:rPr>
              <w:t>sobě svobodu vyznávat nebo přijmout náboženství nebo víru podle vlastní volby</w:t>
            </w:r>
            <w:r w:rsidR="00D56DD0">
              <w:rPr>
                <w:i/>
              </w:rPr>
              <w:t xml:space="preserve"> a </w:t>
            </w:r>
            <w:r>
              <w:rPr>
                <w:i/>
              </w:rPr>
              <w:t>svobodu projevovat své náboženství nebo víru sám nebo společně</w:t>
            </w:r>
            <w:r w:rsidR="00D56DD0">
              <w:rPr>
                <w:i/>
              </w:rPr>
              <w:t xml:space="preserve"> s </w:t>
            </w:r>
            <w:r>
              <w:rPr>
                <w:i/>
              </w:rPr>
              <w:t xml:space="preserve">jinými, ať </w:t>
            </w:r>
            <w:r>
              <w:rPr>
                <w:i/>
              </w:rPr>
              <w:lastRenderedPageBreak/>
              <w:t>veřejně nebo soukromě, prováděním náboženských úkonů, bohoslužbou, zachováváním obřadů</w:t>
            </w:r>
            <w:r w:rsidR="00D56DD0">
              <w:rPr>
                <w:i/>
              </w:rPr>
              <w:t xml:space="preserve"> a </w:t>
            </w:r>
            <w:r>
              <w:rPr>
                <w:i/>
              </w:rPr>
              <w:t>vyučováním.</w:t>
            </w:r>
          </w:p>
          <w:p w14:paraId="402EE45F" w14:textId="77777777" w:rsidR="00270563" w:rsidRPr="00660C59" w:rsidRDefault="00270563" w:rsidP="008812EC">
            <w:pPr>
              <w:jc w:val="both"/>
              <w:rPr>
                <w:i/>
                <w:iCs/>
              </w:rPr>
            </w:pPr>
          </w:p>
          <w:p w14:paraId="61FBF271" w14:textId="77777777" w:rsidR="008812EC" w:rsidRDefault="008812EC" w:rsidP="008812EC">
            <w:pPr>
              <w:jc w:val="both"/>
              <w:rPr>
                <w:i/>
              </w:rPr>
            </w:pPr>
            <w:r>
              <w:rPr>
                <w:i/>
              </w:rPr>
              <w:t>2. Nikdo nesmí být podroben donucování, které by narušovalo jeho svobodu vyznávat nebo přijmout náboženství nebo víru podle své vlastní volby.</w:t>
            </w:r>
          </w:p>
          <w:p w14:paraId="1990C267" w14:textId="77777777" w:rsidR="00270563" w:rsidRPr="00660C59" w:rsidRDefault="00270563" w:rsidP="008812EC">
            <w:pPr>
              <w:jc w:val="both"/>
              <w:rPr>
                <w:i/>
                <w:iCs/>
              </w:rPr>
            </w:pPr>
          </w:p>
          <w:p w14:paraId="617EABBA" w14:textId="77777777" w:rsidR="008812EC" w:rsidRDefault="008812EC" w:rsidP="008812EC">
            <w:pPr>
              <w:jc w:val="both"/>
              <w:rPr>
                <w:i/>
              </w:rPr>
            </w:pPr>
            <w:r>
              <w:rPr>
                <w:i/>
              </w:rPr>
              <w:t>3. Svoboda projevovat náboženství nebo víru může být podrobena pouze takovým omezením, jaká předpisuje zákon</w:t>
            </w:r>
            <w:r w:rsidR="00D56DD0">
              <w:rPr>
                <w:i/>
              </w:rPr>
              <w:t xml:space="preserve"> a </w:t>
            </w:r>
            <w:r>
              <w:rPr>
                <w:i/>
              </w:rPr>
              <w:t>která jsou nutná</w:t>
            </w:r>
            <w:r w:rsidR="00D56DD0">
              <w:rPr>
                <w:i/>
              </w:rPr>
              <w:t xml:space="preserve"> k </w:t>
            </w:r>
            <w:r>
              <w:rPr>
                <w:i/>
              </w:rPr>
              <w:t>ochraně veřejné bezpečnosti, pořádku, zdraví nebo morálky nebo základních práv</w:t>
            </w:r>
            <w:r w:rsidR="00D56DD0">
              <w:rPr>
                <w:i/>
              </w:rPr>
              <w:t xml:space="preserve"> a </w:t>
            </w:r>
            <w:r>
              <w:rPr>
                <w:i/>
              </w:rPr>
              <w:t>svobod jiných.</w:t>
            </w:r>
          </w:p>
          <w:p w14:paraId="538EF541" w14:textId="77777777" w:rsidR="00270563" w:rsidRPr="00660C59" w:rsidRDefault="00270563" w:rsidP="008812EC">
            <w:pPr>
              <w:jc w:val="both"/>
              <w:rPr>
                <w:i/>
                <w:iCs/>
              </w:rPr>
            </w:pPr>
          </w:p>
          <w:p w14:paraId="2E63B407" w14:textId="77777777" w:rsidR="008812EC" w:rsidRPr="00660C59" w:rsidRDefault="008812EC" w:rsidP="008812EC">
            <w:pPr>
              <w:jc w:val="both"/>
              <w:rPr>
                <w:i/>
                <w:iCs/>
              </w:rPr>
            </w:pPr>
            <w:r>
              <w:rPr>
                <w:i/>
              </w:rPr>
              <w:t>4. Státy, smluvní strany Paktu, se zavazují respektovat svobodu rodičů,</w:t>
            </w:r>
            <w:r w:rsidR="00D56DD0">
              <w:rPr>
                <w:i/>
              </w:rPr>
              <w:t xml:space="preserve"> a </w:t>
            </w:r>
            <w:r>
              <w:rPr>
                <w:i/>
              </w:rPr>
              <w:t>tam, kde je to vhodné, poručníků, zajistit náboženskou</w:t>
            </w:r>
            <w:r w:rsidR="00D56DD0">
              <w:rPr>
                <w:i/>
              </w:rPr>
              <w:t xml:space="preserve"> a </w:t>
            </w:r>
            <w:r>
              <w:rPr>
                <w:i/>
              </w:rPr>
              <w:t>morální výchovu svých dětí podle vlastního přesvědčení rodičů nebo poručníků.“</w:t>
            </w:r>
          </w:p>
          <w:p w14:paraId="41FE3C39" w14:textId="77777777" w:rsidR="004B7AC0" w:rsidRPr="00707DDA" w:rsidRDefault="004B7AC0" w:rsidP="00541A2A">
            <w:pPr>
              <w:rPr>
                <w:rFonts w:ascii="Calibri" w:hAnsi="Calibri" w:cs="Calibri"/>
                <w:i/>
                <w:iCs/>
              </w:rPr>
            </w:pPr>
          </w:p>
        </w:tc>
      </w:tr>
      <w:tr w:rsidR="00CA5340" w:rsidRPr="00707DDA" w14:paraId="41B00931" w14:textId="77777777" w:rsidTr="00CA5340">
        <w:tc>
          <w:tcPr>
            <w:tcW w:w="8494" w:type="dxa"/>
          </w:tcPr>
          <w:p w14:paraId="6289207B" w14:textId="77777777" w:rsidR="00CA5340" w:rsidRPr="00707DDA" w:rsidRDefault="00CA5340">
            <w:pPr>
              <w:rPr>
                <w:b/>
                <w:bCs/>
                <w:color w:val="000000" w:themeColor="text1"/>
              </w:rPr>
            </w:pPr>
            <w:r>
              <w:rPr>
                <w:b/>
                <w:color w:val="000000" w:themeColor="text1"/>
              </w:rPr>
              <w:lastRenderedPageBreak/>
              <w:t>Další zdroje</w:t>
            </w:r>
          </w:p>
        </w:tc>
      </w:tr>
      <w:tr w:rsidR="00CA5340" w:rsidRPr="00707DDA" w14:paraId="314E075E" w14:textId="77777777" w:rsidTr="00CA5340">
        <w:tc>
          <w:tcPr>
            <w:tcW w:w="8494" w:type="dxa"/>
          </w:tcPr>
          <w:p w14:paraId="195D75F8" w14:textId="77777777" w:rsidR="002112F0" w:rsidRDefault="002112F0">
            <w:pPr>
              <w:rPr>
                <w:i/>
                <w:iCs/>
                <w:color w:val="000000" w:themeColor="text1"/>
              </w:rPr>
            </w:pPr>
          </w:p>
          <w:p w14:paraId="3183646A" w14:textId="77777777" w:rsidR="002112F0" w:rsidRDefault="002112F0" w:rsidP="00B53E03">
            <w:pPr>
              <w:jc w:val="both"/>
              <w:rPr>
                <w:color w:val="000000" w:themeColor="text1"/>
              </w:rPr>
            </w:pPr>
            <w:r w:rsidRPr="00270563">
              <w:rPr>
                <w:color w:val="000000" w:themeColor="text1"/>
              </w:rPr>
              <w:t>Rozsudek Soudního dvora (velký senát), C-804/18</w:t>
            </w:r>
            <w:r w:rsidR="00D56DD0">
              <w:rPr>
                <w:color w:val="000000" w:themeColor="text1"/>
              </w:rPr>
              <w:t xml:space="preserve"> </w:t>
            </w:r>
            <w:r w:rsidR="00D56DD0" w:rsidRPr="00270563">
              <w:rPr>
                <w:color w:val="000000" w:themeColor="text1"/>
              </w:rPr>
              <w:t>a</w:t>
            </w:r>
            <w:r w:rsidR="00D56DD0">
              <w:rPr>
                <w:color w:val="000000" w:themeColor="text1"/>
              </w:rPr>
              <w:t> </w:t>
            </w:r>
            <w:r w:rsidRPr="00270563">
              <w:rPr>
                <w:color w:val="000000" w:themeColor="text1"/>
              </w:rPr>
              <w:t xml:space="preserve">C-341/19, 11. září 2018, </w:t>
            </w:r>
            <w:r w:rsidRPr="00270563">
              <w:rPr>
                <w:i/>
                <w:color w:val="000000" w:themeColor="text1"/>
              </w:rPr>
              <w:t>IX v. WABE eV</w:t>
            </w:r>
            <w:r w:rsidR="00D56DD0">
              <w:rPr>
                <w:i/>
                <w:color w:val="000000" w:themeColor="text1"/>
              </w:rPr>
              <w:t xml:space="preserve"> </w:t>
            </w:r>
            <w:r w:rsidR="00D56DD0" w:rsidRPr="00270563">
              <w:rPr>
                <w:i/>
                <w:color w:val="000000" w:themeColor="text1"/>
              </w:rPr>
              <w:t>a</w:t>
            </w:r>
            <w:r w:rsidR="00D56DD0">
              <w:rPr>
                <w:i/>
                <w:color w:val="000000" w:themeColor="text1"/>
              </w:rPr>
              <w:t> </w:t>
            </w:r>
            <w:r w:rsidRPr="00270563">
              <w:rPr>
                <w:i/>
                <w:color w:val="000000" w:themeColor="text1"/>
              </w:rPr>
              <w:t xml:space="preserve">MH Müller </w:t>
            </w:r>
            <w:proofErr w:type="spellStart"/>
            <w:r w:rsidRPr="00270563">
              <w:rPr>
                <w:i/>
                <w:color w:val="000000" w:themeColor="text1"/>
              </w:rPr>
              <w:t>Handels</w:t>
            </w:r>
            <w:proofErr w:type="spellEnd"/>
            <w:r w:rsidRPr="00270563">
              <w:rPr>
                <w:i/>
                <w:color w:val="000000" w:themeColor="text1"/>
              </w:rPr>
              <w:t xml:space="preserve"> </w:t>
            </w:r>
            <w:proofErr w:type="spellStart"/>
            <w:r w:rsidRPr="00270563">
              <w:rPr>
                <w:i/>
                <w:color w:val="000000" w:themeColor="text1"/>
              </w:rPr>
              <w:t>GmbH</w:t>
            </w:r>
            <w:proofErr w:type="spellEnd"/>
            <w:r w:rsidRPr="00270563">
              <w:rPr>
                <w:i/>
                <w:color w:val="000000" w:themeColor="text1"/>
              </w:rPr>
              <w:t xml:space="preserve"> v. MJ</w:t>
            </w:r>
          </w:p>
          <w:p w14:paraId="18B00EA0" w14:textId="77777777" w:rsidR="00270563" w:rsidRPr="00270563" w:rsidRDefault="00270563" w:rsidP="00B53E03">
            <w:pPr>
              <w:jc w:val="both"/>
            </w:pPr>
          </w:p>
          <w:p w14:paraId="352DDAFB" w14:textId="77777777" w:rsidR="009B2454" w:rsidRPr="00AF7429" w:rsidRDefault="00F52C40" w:rsidP="00AF7429">
            <w:hyperlink r:id="rId20" w:history="1">
              <w:proofErr w:type="gramStart"/>
              <w:r>
                <w:rPr>
                  <w:rStyle w:val="Hypertextovodkaz"/>
                </w:rPr>
                <w:t xml:space="preserve">CURIA - </w:t>
              </w:r>
              <w:proofErr w:type="spellStart"/>
              <w:r>
                <w:rPr>
                  <w:rStyle w:val="Hypertextovodkaz"/>
                </w:rPr>
                <w:t>Documents</w:t>
              </w:r>
              <w:proofErr w:type="spellEnd"/>
              <w:proofErr w:type="gramEnd"/>
              <w:r>
                <w:rPr>
                  <w:rStyle w:val="Hypertextovodkaz"/>
                </w:rPr>
                <w:t xml:space="preserve"> (europa.eu)</w:t>
              </w:r>
            </w:hyperlink>
          </w:p>
          <w:p w14:paraId="3B369445" w14:textId="77777777" w:rsidR="00B8247F" w:rsidRPr="00AF7429" w:rsidRDefault="00B8247F" w:rsidP="00AF7429"/>
          <w:p w14:paraId="37E2E0AD" w14:textId="77777777" w:rsidR="00B8247F" w:rsidRPr="00B8247F" w:rsidRDefault="00F52C40" w:rsidP="00AF7429">
            <w:hyperlink r:id="rId21" w:history="1">
              <w:r>
                <w:rPr>
                  <w:rStyle w:val="Hypertextovodkaz"/>
                </w:rPr>
                <w:t>Souhrn antisemitských incidentů</w:t>
              </w:r>
              <w:r w:rsidR="00D56DD0">
                <w:rPr>
                  <w:rStyle w:val="Hypertextovodkaz"/>
                </w:rPr>
                <w:t xml:space="preserve"> v </w:t>
              </w:r>
              <w:r>
                <w:rPr>
                  <w:rStyle w:val="Hypertextovodkaz"/>
                </w:rPr>
                <w:t>Evropské unii</w:t>
              </w:r>
              <w:r w:rsidR="00D56DD0">
                <w:rPr>
                  <w:rStyle w:val="Hypertextovodkaz"/>
                </w:rPr>
                <w:t xml:space="preserve"> v </w:t>
              </w:r>
              <w:r>
                <w:rPr>
                  <w:rStyle w:val="Hypertextovodkaz"/>
                </w:rPr>
                <w:t>letech 2011–2021</w:t>
              </w:r>
            </w:hyperlink>
            <w:r>
              <w:t>:</w:t>
            </w:r>
          </w:p>
          <w:p w14:paraId="15D21CE0" w14:textId="77777777" w:rsidR="00B8247F" w:rsidRDefault="00B8247F" w:rsidP="00AF7429">
            <w:pPr>
              <w:jc w:val="both"/>
            </w:pPr>
            <w:r>
              <w:t>Antisemitské incidenty</w:t>
            </w:r>
            <w:r w:rsidR="00D56DD0">
              <w:t xml:space="preserve"> a </w:t>
            </w:r>
            <w:r>
              <w:t>trestné činy</w:t>
            </w:r>
            <w:r w:rsidR="00D56DD0">
              <w:t xml:space="preserve"> z </w:t>
            </w:r>
            <w:r>
              <w:t>nenávisti porušují základní práva, zejména právo na lidskou důstojnost</w:t>
            </w:r>
            <w:r w:rsidR="00D56DD0">
              <w:t xml:space="preserve"> a </w:t>
            </w:r>
            <w:r>
              <w:t>rovné zacházení či svobodu myšlení, svědomí</w:t>
            </w:r>
            <w:r w:rsidR="00D56DD0">
              <w:t xml:space="preserve"> a </w:t>
            </w:r>
            <w:r>
              <w:t>náboženského vyznání. Tato zpráva poskytuje přehled dostupných údajů</w:t>
            </w:r>
            <w:r w:rsidR="00D56DD0">
              <w:t xml:space="preserve"> o </w:t>
            </w:r>
            <w:r>
              <w:t>antisemitismu, jak byly zaznamenány oficiálními</w:t>
            </w:r>
            <w:r w:rsidR="00D56DD0">
              <w:t xml:space="preserve"> a </w:t>
            </w:r>
            <w:r>
              <w:t>neoficiálními zdroji</w:t>
            </w:r>
            <w:r w:rsidR="00D56DD0">
              <w:t xml:space="preserve"> v </w:t>
            </w:r>
            <w:r>
              <w:t>členských státech EU.</w:t>
            </w:r>
          </w:p>
          <w:p w14:paraId="38AA708D" w14:textId="77777777" w:rsidR="00E53E69" w:rsidRDefault="00E53E69" w:rsidP="00AF7429">
            <w:pPr>
              <w:jc w:val="both"/>
              <w:rPr>
                <w:rFonts w:ascii="Segoe UI" w:eastAsia="Times New Roman" w:hAnsi="Segoe UI" w:cs="Segoe UI"/>
                <w:color w:val="343D55"/>
                <w:kern w:val="0"/>
                <w:lang w:eastAsia="fr-FR"/>
              </w:rPr>
            </w:pPr>
          </w:p>
          <w:p w14:paraId="7DACAD62" w14:textId="77777777" w:rsidR="00E53E69" w:rsidRPr="00E53E69" w:rsidRDefault="00E53E69" w:rsidP="00013927">
            <w:pPr>
              <w:jc w:val="both"/>
            </w:pPr>
            <w:r>
              <w:t xml:space="preserve">La </w:t>
            </w:r>
            <w:proofErr w:type="spellStart"/>
            <w:r>
              <w:t>conciliation</w:t>
            </w:r>
            <w:proofErr w:type="spellEnd"/>
            <w:r>
              <w:t xml:space="preserve"> </w:t>
            </w:r>
            <w:proofErr w:type="spellStart"/>
            <w:r>
              <w:t>entre</w:t>
            </w:r>
            <w:proofErr w:type="spellEnd"/>
            <w:r>
              <w:t xml:space="preserve"> </w:t>
            </w:r>
            <w:proofErr w:type="spellStart"/>
            <w:r>
              <w:t>le</w:t>
            </w:r>
            <w:proofErr w:type="spellEnd"/>
            <w:r>
              <w:t xml:space="preserve"> principe de </w:t>
            </w:r>
            <w:proofErr w:type="spellStart"/>
            <w:r>
              <w:t>neutralité</w:t>
            </w:r>
            <w:proofErr w:type="spellEnd"/>
            <w:r>
              <w:t xml:space="preserve"> </w:t>
            </w:r>
            <w:proofErr w:type="spellStart"/>
            <w:r>
              <w:t>du</w:t>
            </w:r>
            <w:proofErr w:type="spellEnd"/>
            <w:r>
              <w:t xml:space="preserve"> </w:t>
            </w:r>
            <w:proofErr w:type="spellStart"/>
            <w:r>
              <w:t>service</w:t>
            </w:r>
            <w:proofErr w:type="spellEnd"/>
            <w:r>
              <w:t xml:space="preserve"> public et </w:t>
            </w:r>
            <w:proofErr w:type="spellStart"/>
            <w:r>
              <w:t>le</w:t>
            </w:r>
            <w:proofErr w:type="spellEnd"/>
            <w:r>
              <w:t xml:space="preserve"> </w:t>
            </w:r>
            <w:proofErr w:type="spellStart"/>
            <w:r>
              <w:t>droit</w:t>
            </w:r>
            <w:proofErr w:type="spellEnd"/>
            <w:r>
              <w:t xml:space="preserve"> de la non-</w:t>
            </w:r>
            <w:proofErr w:type="spellStart"/>
            <w:r>
              <w:t>discrimination</w:t>
            </w:r>
            <w:proofErr w:type="spellEnd"/>
            <w:r>
              <w:t xml:space="preserve"> </w:t>
            </w:r>
            <w:proofErr w:type="spellStart"/>
            <w:proofErr w:type="gramStart"/>
            <w:r>
              <w:t>religieuse</w:t>
            </w:r>
            <w:proofErr w:type="spellEnd"/>
            <w:r>
              <w:t> :</w:t>
            </w:r>
            <w:proofErr w:type="gramEnd"/>
            <w:r>
              <w:t xml:space="preserve"> </w:t>
            </w:r>
            <w:proofErr w:type="spellStart"/>
            <w:r>
              <w:t>un</w:t>
            </w:r>
            <w:proofErr w:type="spellEnd"/>
            <w:r>
              <w:t xml:space="preserve"> </w:t>
            </w:r>
            <w:proofErr w:type="spellStart"/>
            <w:r>
              <w:t>acte</w:t>
            </w:r>
            <w:proofErr w:type="spellEnd"/>
            <w:r>
              <w:t xml:space="preserve"> </w:t>
            </w:r>
            <w:proofErr w:type="spellStart"/>
            <w:proofErr w:type="gramStart"/>
            <w:r>
              <w:t>manqué</w:t>
            </w:r>
            <w:proofErr w:type="spellEnd"/>
            <w:r>
              <w:t xml:space="preserve"> ?</w:t>
            </w:r>
            <w:proofErr w:type="gramEnd"/>
            <w:r>
              <w:t xml:space="preserve"> </w:t>
            </w:r>
            <w:r w:rsidR="0078783D" w:rsidRPr="0078783D">
              <w:rPr>
                <w:i/>
              </w:rPr>
              <w:t>(Sladění zásady neutrality ve veřejné službě s právem na nediskriminaci na základě náboženského vyznání: promarněná příležitost?)</w:t>
            </w:r>
            <w:r w:rsidR="0078783D">
              <w:t xml:space="preserve"> </w:t>
            </w:r>
            <w:r>
              <w:t xml:space="preserve">A. </w:t>
            </w:r>
            <w:proofErr w:type="spellStart"/>
            <w:r>
              <w:t>Husser</w:t>
            </w:r>
            <w:proofErr w:type="spellEnd"/>
            <w:r>
              <w:t xml:space="preserve">, RDLF 2024 </w:t>
            </w:r>
            <w:proofErr w:type="spellStart"/>
            <w:r>
              <w:t>chron</w:t>
            </w:r>
            <w:proofErr w:type="spellEnd"/>
            <w:r>
              <w:t>. n°08:</w:t>
            </w:r>
          </w:p>
          <w:p w14:paraId="64847279" w14:textId="77777777" w:rsidR="00E53E69" w:rsidRDefault="00F52C40" w:rsidP="00E53E69">
            <w:hyperlink r:id="rId22" w:history="1">
              <w:proofErr w:type="spellStart"/>
              <w:r>
                <w:rPr>
                  <w:rStyle w:val="Hypertextovodkaz"/>
                </w:rPr>
                <w:t>Commentaire</w:t>
              </w:r>
              <w:proofErr w:type="spellEnd"/>
            </w:hyperlink>
            <w:r>
              <w:t> </w:t>
            </w:r>
            <w:r w:rsidR="0078783D">
              <w:t>(</w:t>
            </w:r>
            <w:r w:rsidR="0078783D" w:rsidRPr="0078783D">
              <w:rPr>
                <w:i/>
              </w:rPr>
              <w:t>Komentář</w:t>
            </w:r>
            <w:r w:rsidR="0078783D">
              <w:t xml:space="preserve">) </w:t>
            </w:r>
            <w:r>
              <w:t>par </w:t>
            </w:r>
            <w:hyperlink r:id="rId23" w:history="1">
              <w:r>
                <w:rPr>
                  <w:rStyle w:val="Hypertextovodkaz"/>
                </w:rPr>
                <w:t xml:space="preserve">Alexis </w:t>
              </w:r>
              <w:proofErr w:type="spellStart"/>
              <w:r>
                <w:rPr>
                  <w:rStyle w:val="Hypertextovodkaz"/>
                </w:rPr>
                <w:t>Husser</w:t>
              </w:r>
              <w:proofErr w:type="spellEnd"/>
            </w:hyperlink>
            <w:r w:rsidR="00270563">
              <w:t>,</w:t>
            </w:r>
          </w:p>
          <w:p w14:paraId="48287F1F" w14:textId="77777777" w:rsidR="00B53E03" w:rsidRDefault="00B53E03" w:rsidP="00AF7429">
            <w:pPr>
              <w:jc w:val="both"/>
              <w:rPr>
                <w:rFonts w:ascii="Segoe UI" w:eastAsia="Times New Roman" w:hAnsi="Segoe UI" w:cs="Segoe UI"/>
                <w:color w:val="343D55"/>
                <w:kern w:val="0"/>
                <w:lang w:eastAsia="fr-FR"/>
              </w:rPr>
            </w:pPr>
          </w:p>
          <w:p w14:paraId="54A1A911" w14:textId="77777777" w:rsidR="007A04BB" w:rsidRDefault="007A04BB" w:rsidP="00AF7429">
            <w:pPr>
              <w:jc w:val="both"/>
              <w:rPr>
                <w:rFonts w:cstheme="minorHAnsi"/>
                <w:color w:val="333333"/>
                <w:shd w:val="clear" w:color="auto" w:fill="FFFFFF"/>
              </w:rPr>
            </w:pPr>
            <w:r>
              <w:rPr>
                <w:color w:val="333333"/>
                <w:shd w:val="clear" w:color="auto" w:fill="FFFFFF"/>
              </w:rPr>
              <w:t xml:space="preserve">A. </w:t>
            </w:r>
            <w:proofErr w:type="spellStart"/>
            <w:r>
              <w:rPr>
                <w:color w:val="333333"/>
                <w:shd w:val="clear" w:color="auto" w:fill="FFFFFF"/>
              </w:rPr>
              <w:t>Djelassi</w:t>
            </w:r>
            <w:proofErr w:type="spellEnd"/>
            <w:r>
              <w:rPr>
                <w:color w:val="333333"/>
                <w:shd w:val="clear" w:color="auto" w:fill="FFFFFF"/>
              </w:rPr>
              <w:t xml:space="preserve">, R. </w:t>
            </w:r>
            <w:proofErr w:type="spellStart"/>
            <w:r>
              <w:rPr>
                <w:color w:val="333333"/>
                <w:shd w:val="clear" w:color="auto" w:fill="FFFFFF"/>
              </w:rPr>
              <w:t>Mertens</w:t>
            </w:r>
            <w:proofErr w:type="spellEnd"/>
            <w:r>
              <w:rPr>
                <w:color w:val="333333"/>
                <w:shd w:val="clear" w:color="auto" w:fill="FFFFFF"/>
              </w:rPr>
              <w:t xml:space="preserve">, S. </w:t>
            </w:r>
            <w:proofErr w:type="spellStart"/>
            <w:r>
              <w:rPr>
                <w:color w:val="333333"/>
                <w:shd w:val="clear" w:color="auto" w:fill="FFFFFF"/>
              </w:rPr>
              <w:t>Wattier</w:t>
            </w:r>
            <w:proofErr w:type="spellEnd"/>
            <w:r>
              <w:rPr>
                <w:color w:val="333333"/>
                <w:shd w:val="clear" w:color="auto" w:fill="FFFFFF"/>
              </w:rPr>
              <w:t xml:space="preserve">, Principe de </w:t>
            </w:r>
            <w:proofErr w:type="spellStart"/>
            <w:r>
              <w:rPr>
                <w:color w:val="333333"/>
                <w:shd w:val="clear" w:color="auto" w:fill="FFFFFF"/>
              </w:rPr>
              <w:t>neutralité</w:t>
            </w:r>
            <w:proofErr w:type="spellEnd"/>
            <w:r>
              <w:rPr>
                <w:color w:val="333333"/>
                <w:shd w:val="clear" w:color="auto" w:fill="FFFFFF"/>
              </w:rPr>
              <w:t xml:space="preserve"> </w:t>
            </w:r>
            <w:proofErr w:type="spellStart"/>
            <w:r>
              <w:rPr>
                <w:color w:val="333333"/>
                <w:shd w:val="clear" w:color="auto" w:fill="FFFFFF"/>
              </w:rPr>
              <w:t>dans</w:t>
            </w:r>
            <w:proofErr w:type="spellEnd"/>
            <w:r>
              <w:rPr>
                <w:color w:val="333333"/>
                <w:shd w:val="clear" w:color="auto" w:fill="FFFFFF"/>
              </w:rPr>
              <w:t xml:space="preserve"> les </w:t>
            </w:r>
            <w:proofErr w:type="spellStart"/>
            <w:r>
              <w:rPr>
                <w:color w:val="333333"/>
                <w:shd w:val="clear" w:color="auto" w:fill="FFFFFF"/>
              </w:rPr>
              <w:t>enterprises</w:t>
            </w:r>
            <w:proofErr w:type="spellEnd"/>
            <w:r>
              <w:rPr>
                <w:color w:val="333333"/>
                <w:shd w:val="clear" w:color="auto" w:fill="FFFFFF"/>
              </w:rPr>
              <w:t xml:space="preserve"> </w:t>
            </w:r>
            <w:proofErr w:type="spellStart"/>
            <w:r>
              <w:rPr>
                <w:color w:val="333333"/>
                <w:shd w:val="clear" w:color="auto" w:fill="FFFFFF"/>
              </w:rPr>
              <w:t>privées</w:t>
            </w:r>
            <w:proofErr w:type="spellEnd"/>
            <w:r>
              <w:rPr>
                <w:color w:val="333333"/>
                <w:shd w:val="clear" w:color="auto" w:fill="FFFFFF"/>
              </w:rPr>
              <w:t xml:space="preserve">: la Cour de justice </w:t>
            </w:r>
            <w:proofErr w:type="spellStart"/>
            <w:r>
              <w:rPr>
                <w:color w:val="333333"/>
                <w:shd w:val="clear" w:color="auto" w:fill="FFFFFF"/>
              </w:rPr>
              <w:t>étoffe</w:t>
            </w:r>
            <w:proofErr w:type="spellEnd"/>
            <w:r>
              <w:rPr>
                <w:color w:val="333333"/>
                <w:shd w:val="clear" w:color="auto" w:fill="FFFFFF"/>
              </w:rPr>
              <w:t xml:space="preserve"> </w:t>
            </w:r>
            <w:proofErr w:type="spellStart"/>
            <w:r>
              <w:rPr>
                <w:color w:val="333333"/>
                <w:shd w:val="clear" w:color="auto" w:fill="FFFFFF"/>
              </w:rPr>
              <w:t>sa</w:t>
            </w:r>
            <w:proofErr w:type="spellEnd"/>
            <w:r>
              <w:rPr>
                <w:color w:val="333333"/>
                <w:shd w:val="clear" w:color="auto" w:fill="FFFFFF"/>
              </w:rPr>
              <w:t xml:space="preserve"> jurisprudence </w:t>
            </w:r>
            <w:proofErr w:type="spellStart"/>
            <w:r>
              <w:rPr>
                <w:color w:val="333333"/>
                <w:shd w:val="clear" w:color="auto" w:fill="FFFFFF"/>
              </w:rPr>
              <w:t>relative</w:t>
            </w:r>
            <w:proofErr w:type="spellEnd"/>
            <w:r>
              <w:rPr>
                <w:color w:val="333333"/>
                <w:shd w:val="clear" w:color="auto" w:fill="FFFFFF"/>
              </w:rPr>
              <w:t xml:space="preserve"> à </w:t>
            </w:r>
            <w:proofErr w:type="spellStart"/>
            <w:r>
              <w:rPr>
                <w:color w:val="333333"/>
                <w:shd w:val="clear" w:color="auto" w:fill="FFFFFF"/>
              </w:rPr>
              <w:t>l’interdiction</w:t>
            </w:r>
            <w:proofErr w:type="spellEnd"/>
            <w:r>
              <w:rPr>
                <w:color w:val="333333"/>
                <w:shd w:val="clear" w:color="auto" w:fill="FFFFFF"/>
              </w:rPr>
              <w:t xml:space="preserve"> des </w:t>
            </w:r>
            <w:proofErr w:type="spellStart"/>
            <w:r>
              <w:rPr>
                <w:color w:val="333333"/>
                <w:shd w:val="clear" w:color="auto" w:fill="FFFFFF"/>
              </w:rPr>
              <w:t>signes</w:t>
            </w:r>
            <w:proofErr w:type="spellEnd"/>
            <w:r>
              <w:rPr>
                <w:color w:val="333333"/>
                <w:shd w:val="clear" w:color="auto" w:fill="FFFFFF"/>
              </w:rPr>
              <w:t xml:space="preserve"> </w:t>
            </w:r>
            <w:proofErr w:type="spellStart"/>
            <w:r>
              <w:rPr>
                <w:color w:val="333333"/>
                <w:shd w:val="clear" w:color="auto" w:fill="FFFFFF"/>
              </w:rPr>
              <w:t>religieux</w:t>
            </w:r>
            <w:proofErr w:type="spellEnd"/>
            <w:r>
              <w:rPr>
                <w:color w:val="333333"/>
                <w:shd w:val="clear" w:color="auto" w:fill="FFFFFF"/>
              </w:rPr>
              <w:t>, </w:t>
            </w:r>
            <w:r w:rsidR="0078783D" w:rsidRPr="0078783D">
              <w:rPr>
                <w:i/>
                <w:color w:val="333333"/>
                <w:shd w:val="clear" w:color="auto" w:fill="FFFFFF"/>
              </w:rPr>
              <w:t>(Zásada neutrality v soukromých společnostech: Soudní dvůr rozšiřuje svou judikaturu týkající se zákazu náboženských symbolů</w:t>
            </w:r>
            <w:r w:rsidR="0078783D" w:rsidRPr="0078783D">
              <w:rPr>
                <w:rStyle w:val="Zdraznn"/>
                <w:iCs w:val="0"/>
                <w:color w:val="333333"/>
                <w:shd w:val="clear" w:color="auto" w:fill="FFFFFF"/>
              </w:rPr>
              <w:t>)</w:t>
            </w:r>
            <w:r w:rsidR="0078783D" w:rsidRPr="0078783D">
              <w:rPr>
                <w:rStyle w:val="Zdraznn"/>
                <w:i w:val="0"/>
                <w:iCs w:val="0"/>
                <w:color w:val="333333"/>
                <w:shd w:val="clear" w:color="auto" w:fill="FFFFFF"/>
              </w:rPr>
              <w:t xml:space="preserve"> </w:t>
            </w:r>
            <w:r>
              <w:rPr>
                <w:rStyle w:val="Zdraznn"/>
                <w:color w:val="333333"/>
                <w:shd w:val="clear" w:color="auto" w:fill="FFFFFF"/>
              </w:rPr>
              <w:t>RTDH</w:t>
            </w:r>
            <w:r>
              <w:rPr>
                <w:color w:val="333333"/>
                <w:shd w:val="clear" w:color="auto" w:fill="FFFFFF"/>
              </w:rPr>
              <w:t>, 2022, n°130, s. 383</w:t>
            </w:r>
            <w:r w:rsidR="00D56DD0">
              <w:rPr>
                <w:color w:val="333333"/>
                <w:shd w:val="clear" w:color="auto" w:fill="FFFFFF"/>
              </w:rPr>
              <w:t xml:space="preserve"> a </w:t>
            </w:r>
            <w:r>
              <w:rPr>
                <w:color w:val="333333"/>
                <w:shd w:val="clear" w:color="auto" w:fill="FFFFFF"/>
              </w:rPr>
              <w:t>násl.</w:t>
            </w:r>
          </w:p>
          <w:p w14:paraId="58DFE517" w14:textId="77777777" w:rsidR="00013927" w:rsidRDefault="00013927" w:rsidP="00AF7429">
            <w:pPr>
              <w:jc w:val="both"/>
              <w:rPr>
                <w:rFonts w:cstheme="minorHAnsi"/>
                <w:color w:val="333333"/>
                <w:shd w:val="clear" w:color="auto" w:fill="FFFFFF"/>
              </w:rPr>
            </w:pPr>
          </w:p>
          <w:p w14:paraId="20647D1F" w14:textId="77777777" w:rsidR="000734C8" w:rsidRDefault="000734C8" w:rsidP="00AF7429">
            <w:pPr>
              <w:jc w:val="both"/>
              <w:rPr>
                <w:rFonts w:eastAsia="Times New Roman" w:cstheme="minorHAnsi"/>
                <w:color w:val="343D55"/>
                <w:kern w:val="0"/>
              </w:rPr>
            </w:pPr>
            <w:r>
              <w:rPr>
                <w:color w:val="343D55"/>
              </w:rPr>
              <w:t xml:space="preserve">G. </w:t>
            </w:r>
            <w:proofErr w:type="spellStart"/>
            <w:r>
              <w:rPr>
                <w:color w:val="343D55"/>
              </w:rPr>
              <w:t>Gonzalez</w:t>
            </w:r>
            <w:proofErr w:type="spellEnd"/>
            <w:r>
              <w:rPr>
                <w:color w:val="343D55"/>
              </w:rPr>
              <w:t xml:space="preserve">, La </w:t>
            </w:r>
            <w:proofErr w:type="spellStart"/>
            <w:r>
              <w:rPr>
                <w:color w:val="343D55"/>
              </w:rPr>
              <w:t>liberté</w:t>
            </w:r>
            <w:proofErr w:type="spellEnd"/>
            <w:r>
              <w:rPr>
                <w:color w:val="343D55"/>
              </w:rPr>
              <w:t xml:space="preserve"> de religion à </w:t>
            </w:r>
            <w:proofErr w:type="spellStart"/>
            <w:r>
              <w:rPr>
                <w:color w:val="343D55"/>
              </w:rPr>
              <w:t>l’épreuve</w:t>
            </w:r>
            <w:proofErr w:type="spellEnd"/>
            <w:r>
              <w:rPr>
                <w:color w:val="343D55"/>
              </w:rPr>
              <w:t xml:space="preserve"> de la jurisprudence de la Cour de justice de </w:t>
            </w:r>
            <w:proofErr w:type="spellStart"/>
            <w:r>
              <w:rPr>
                <w:color w:val="343D55"/>
              </w:rPr>
              <w:t>l’Union</w:t>
            </w:r>
            <w:proofErr w:type="spellEnd"/>
            <w:r>
              <w:rPr>
                <w:color w:val="343D55"/>
              </w:rPr>
              <w:t xml:space="preserve"> </w:t>
            </w:r>
            <w:proofErr w:type="spellStart"/>
            <w:r>
              <w:rPr>
                <w:color w:val="343D55"/>
              </w:rPr>
              <w:t>européenne</w:t>
            </w:r>
            <w:proofErr w:type="spellEnd"/>
            <w:r>
              <w:rPr>
                <w:color w:val="343D55"/>
              </w:rPr>
              <w:t xml:space="preserve">, </w:t>
            </w:r>
            <w:r w:rsidR="0078783D">
              <w:rPr>
                <w:color w:val="343D55"/>
              </w:rPr>
              <w:t>(</w:t>
            </w:r>
            <w:r w:rsidR="0078783D" w:rsidRPr="0078783D">
              <w:rPr>
                <w:i/>
                <w:color w:val="343D55"/>
              </w:rPr>
              <w:t xml:space="preserve">Svoboda náboženského vyznání </w:t>
            </w:r>
            <w:r w:rsidR="0078783D">
              <w:rPr>
                <w:i/>
                <w:color w:val="343D55"/>
              </w:rPr>
              <w:t>ve světle</w:t>
            </w:r>
            <w:r w:rsidR="0078783D" w:rsidRPr="0078783D">
              <w:rPr>
                <w:i/>
                <w:color w:val="343D55"/>
              </w:rPr>
              <w:t xml:space="preserve"> judikatur</w:t>
            </w:r>
            <w:r w:rsidR="0078783D">
              <w:rPr>
                <w:i/>
                <w:color w:val="343D55"/>
              </w:rPr>
              <w:t>y</w:t>
            </w:r>
            <w:r w:rsidR="0078783D" w:rsidRPr="0078783D">
              <w:rPr>
                <w:i/>
                <w:color w:val="343D55"/>
              </w:rPr>
              <w:t xml:space="preserve"> Soudního dvora Evropské unie</w:t>
            </w:r>
            <w:r w:rsidR="0078783D">
              <w:rPr>
                <w:color w:val="343D55"/>
              </w:rPr>
              <w:t>)</w:t>
            </w:r>
            <w:r w:rsidR="0078783D" w:rsidRPr="0078783D">
              <w:rPr>
                <w:color w:val="343D55"/>
              </w:rPr>
              <w:t xml:space="preserve"> </w:t>
            </w:r>
            <w:proofErr w:type="spellStart"/>
            <w:r>
              <w:rPr>
                <w:color w:val="343D55"/>
              </w:rPr>
              <w:t>Rev</w:t>
            </w:r>
            <w:proofErr w:type="spellEnd"/>
            <w:r>
              <w:rPr>
                <w:color w:val="343D55"/>
              </w:rPr>
              <w:t xml:space="preserve">. </w:t>
            </w:r>
            <w:proofErr w:type="spellStart"/>
            <w:r>
              <w:rPr>
                <w:color w:val="343D55"/>
              </w:rPr>
              <w:t>trim</w:t>
            </w:r>
            <w:proofErr w:type="spellEnd"/>
            <w:r>
              <w:rPr>
                <w:color w:val="343D55"/>
              </w:rPr>
              <w:t>. dr. h.</w:t>
            </w:r>
            <w:r w:rsidR="0078783D">
              <w:rPr>
                <w:color w:val="343D55"/>
              </w:rPr>
              <w:t xml:space="preserve"> (</w:t>
            </w:r>
            <w:r w:rsidR="0078783D" w:rsidRPr="0078783D">
              <w:rPr>
                <w:i/>
                <w:color w:val="343D55"/>
              </w:rPr>
              <w:t xml:space="preserve">Lidskoprávní </w:t>
            </w:r>
            <w:proofErr w:type="spellStart"/>
            <w:r w:rsidR="0078783D" w:rsidRPr="0078783D">
              <w:rPr>
                <w:i/>
                <w:color w:val="343D55"/>
              </w:rPr>
              <w:t>čtvtletník</w:t>
            </w:r>
            <w:proofErr w:type="spellEnd"/>
            <w:r w:rsidR="0078783D">
              <w:rPr>
                <w:color w:val="343D55"/>
              </w:rPr>
              <w:t>)</w:t>
            </w:r>
            <w:r>
              <w:rPr>
                <w:color w:val="343D55"/>
              </w:rPr>
              <w:t>, 2020, s. 103-120</w:t>
            </w:r>
          </w:p>
          <w:p w14:paraId="4BEF7D53" w14:textId="64C9F49C" w:rsidR="00FF6E05" w:rsidRDefault="00FF6E05" w:rsidP="001A5191">
            <w:pPr>
              <w:rPr>
                <w:color w:val="000000" w:themeColor="text1"/>
              </w:rPr>
            </w:pPr>
          </w:p>
          <w:p w14:paraId="6346E1B7" w14:textId="77777777" w:rsidR="00B8247F" w:rsidRPr="00270563" w:rsidRDefault="00225CD1" w:rsidP="00270563">
            <w:pPr>
              <w:jc w:val="both"/>
              <w:rPr>
                <w:color w:val="000000" w:themeColor="text1"/>
              </w:rPr>
            </w:pPr>
            <w:r>
              <w:rPr>
                <w:color w:val="000000" w:themeColor="text1"/>
              </w:rPr>
              <w:t xml:space="preserve">G. </w:t>
            </w:r>
            <w:proofErr w:type="spellStart"/>
            <w:r>
              <w:rPr>
                <w:color w:val="000000" w:themeColor="text1"/>
              </w:rPr>
              <w:t>Gonzalez</w:t>
            </w:r>
            <w:proofErr w:type="spellEnd"/>
            <w:r>
              <w:rPr>
                <w:color w:val="000000" w:themeColor="text1"/>
              </w:rPr>
              <w:t xml:space="preserve">, </w:t>
            </w:r>
            <w:proofErr w:type="spellStart"/>
            <w:r>
              <w:rPr>
                <w:color w:val="000000" w:themeColor="text1"/>
              </w:rPr>
              <w:t>Article</w:t>
            </w:r>
            <w:proofErr w:type="spellEnd"/>
            <w:r>
              <w:rPr>
                <w:color w:val="000000" w:themeColor="text1"/>
              </w:rPr>
              <w:t xml:space="preserve"> 10 </w:t>
            </w:r>
            <w:proofErr w:type="spellStart"/>
            <w:r>
              <w:rPr>
                <w:color w:val="000000" w:themeColor="text1"/>
              </w:rPr>
              <w:t>Liberté</w:t>
            </w:r>
            <w:proofErr w:type="spellEnd"/>
            <w:r>
              <w:rPr>
                <w:color w:val="000000" w:themeColor="text1"/>
              </w:rPr>
              <w:t xml:space="preserve"> de </w:t>
            </w:r>
            <w:proofErr w:type="spellStart"/>
            <w:r>
              <w:rPr>
                <w:color w:val="000000" w:themeColor="text1"/>
              </w:rPr>
              <w:t>pensée</w:t>
            </w:r>
            <w:proofErr w:type="spellEnd"/>
            <w:r>
              <w:rPr>
                <w:color w:val="000000" w:themeColor="text1"/>
              </w:rPr>
              <w:t xml:space="preserve">, de </w:t>
            </w:r>
            <w:proofErr w:type="spellStart"/>
            <w:r>
              <w:rPr>
                <w:color w:val="000000" w:themeColor="text1"/>
              </w:rPr>
              <w:t>conscience</w:t>
            </w:r>
            <w:proofErr w:type="spellEnd"/>
            <w:r>
              <w:rPr>
                <w:color w:val="000000" w:themeColor="text1"/>
              </w:rPr>
              <w:t xml:space="preserve"> et de religion, in </w:t>
            </w:r>
            <w:proofErr w:type="spellStart"/>
            <w:r>
              <w:rPr>
                <w:color w:val="000000" w:themeColor="text1"/>
              </w:rPr>
              <w:t>Charte</w:t>
            </w:r>
            <w:proofErr w:type="spellEnd"/>
            <w:r>
              <w:rPr>
                <w:color w:val="000000" w:themeColor="text1"/>
              </w:rPr>
              <w:t xml:space="preserve"> des </w:t>
            </w:r>
            <w:proofErr w:type="spellStart"/>
            <w:r>
              <w:rPr>
                <w:color w:val="000000" w:themeColor="text1"/>
              </w:rPr>
              <w:t>droits</w:t>
            </w:r>
            <w:proofErr w:type="spellEnd"/>
            <w:r>
              <w:rPr>
                <w:color w:val="000000" w:themeColor="text1"/>
              </w:rPr>
              <w:t xml:space="preserve"> </w:t>
            </w:r>
            <w:proofErr w:type="spellStart"/>
            <w:r>
              <w:rPr>
                <w:color w:val="000000" w:themeColor="text1"/>
              </w:rPr>
              <w:t>fondamentaux</w:t>
            </w:r>
            <w:proofErr w:type="spellEnd"/>
            <w:r>
              <w:rPr>
                <w:color w:val="000000" w:themeColor="text1"/>
              </w:rPr>
              <w:t xml:space="preserve"> de </w:t>
            </w:r>
            <w:proofErr w:type="spellStart"/>
            <w:r>
              <w:rPr>
                <w:color w:val="000000" w:themeColor="text1"/>
              </w:rPr>
              <w:t>l’Union</w:t>
            </w:r>
            <w:proofErr w:type="spellEnd"/>
            <w:r>
              <w:rPr>
                <w:color w:val="000000" w:themeColor="text1"/>
              </w:rPr>
              <w:t xml:space="preserve"> </w:t>
            </w:r>
            <w:proofErr w:type="spellStart"/>
            <w:r>
              <w:rPr>
                <w:color w:val="000000" w:themeColor="text1"/>
              </w:rPr>
              <w:t>européennne</w:t>
            </w:r>
            <w:proofErr w:type="spellEnd"/>
            <w:r>
              <w:rPr>
                <w:color w:val="000000" w:themeColor="text1"/>
              </w:rPr>
              <w:t xml:space="preserve"> </w:t>
            </w:r>
            <w:proofErr w:type="spellStart"/>
            <w:r>
              <w:rPr>
                <w:color w:val="000000" w:themeColor="text1"/>
              </w:rPr>
              <w:t>commentaire</w:t>
            </w:r>
            <w:proofErr w:type="spellEnd"/>
            <w:r>
              <w:rPr>
                <w:color w:val="000000" w:themeColor="text1"/>
              </w:rPr>
              <w:t xml:space="preserve"> </w:t>
            </w:r>
            <w:proofErr w:type="spellStart"/>
            <w:r>
              <w:rPr>
                <w:color w:val="000000" w:themeColor="text1"/>
              </w:rPr>
              <w:t>article</w:t>
            </w:r>
            <w:proofErr w:type="spellEnd"/>
            <w:r>
              <w:rPr>
                <w:color w:val="000000" w:themeColor="text1"/>
              </w:rPr>
              <w:t xml:space="preserve"> par </w:t>
            </w:r>
            <w:proofErr w:type="spellStart"/>
            <w:r>
              <w:rPr>
                <w:color w:val="000000" w:themeColor="text1"/>
              </w:rPr>
              <w:t>article</w:t>
            </w:r>
            <w:proofErr w:type="spellEnd"/>
            <w:r w:rsidR="0078783D">
              <w:rPr>
                <w:color w:val="000000" w:themeColor="text1"/>
              </w:rPr>
              <w:t xml:space="preserve"> </w:t>
            </w:r>
            <w:r w:rsidR="0078783D" w:rsidRPr="0078783D">
              <w:rPr>
                <w:i/>
                <w:color w:val="000000" w:themeColor="text1"/>
              </w:rPr>
              <w:lastRenderedPageBreak/>
              <w:t>(</w:t>
            </w:r>
            <w:r w:rsidR="0078783D">
              <w:rPr>
                <w:i/>
                <w:color w:val="000000" w:themeColor="text1"/>
              </w:rPr>
              <w:t xml:space="preserve">Článek 10: </w:t>
            </w:r>
            <w:r w:rsidR="0078783D" w:rsidRPr="0078783D">
              <w:rPr>
                <w:i/>
                <w:color w:val="000000" w:themeColor="text1"/>
              </w:rPr>
              <w:t>Svoboda myšlení, svědomí a náboženského vyznání v Listině základních práv Evropské unie, komentář k jednotlivým článkům</w:t>
            </w:r>
            <w:r w:rsidR="0078783D">
              <w:rPr>
                <w:color w:val="000000" w:themeColor="text1"/>
              </w:rPr>
              <w:t>)</w:t>
            </w:r>
            <w:r>
              <w:rPr>
                <w:color w:val="000000" w:themeColor="text1"/>
              </w:rPr>
              <w:t xml:space="preserve">, 3ème </w:t>
            </w:r>
            <w:proofErr w:type="spellStart"/>
            <w:r>
              <w:rPr>
                <w:color w:val="000000" w:themeColor="text1"/>
              </w:rPr>
              <w:t>ed</w:t>
            </w:r>
            <w:proofErr w:type="spellEnd"/>
            <w:r>
              <w:rPr>
                <w:color w:val="000000" w:themeColor="text1"/>
              </w:rPr>
              <w:t xml:space="preserve">., </w:t>
            </w:r>
            <w:proofErr w:type="spellStart"/>
            <w:r>
              <w:rPr>
                <w:color w:val="000000" w:themeColor="text1"/>
              </w:rPr>
              <w:t>dir</w:t>
            </w:r>
            <w:proofErr w:type="spellEnd"/>
            <w:r>
              <w:rPr>
                <w:color w:val="000000" w:themeColor="text1"/>
              </w:rPr>
              <w:t xml:space="preserve">. F. </w:t>
            </w:r>
            <w:proofErr w:type="spellStart"/>
            <w:r>
              <w:rPr>
                <w:color w:val="000000" w:themeColor="text1"/>
              </w:rPr>
              <w:t>Picod</w:t>
            </w:r>
            <w:proofErr w:type="spellEnd"/>
            <w:r>
              <w:rPr>
                <w:color w:val="000000" w:themeColor="text1"/>
              </w:rPr>
              <w:t xml:space="preserve">, C. </w:t>
            </w:r>
            <w:proofErr w:type="spellStart"/>
            <w:r>
              <w:rPr>
                <w:color w:val="000000" w:themeColor="text1"/>
              </w:rPr>
              <w:t>Rizcallah</w:t>
            </w:r>
            <w:proofErr w:type="spellEnd"/>
            <w:r>
              <w:rPr>
                <w:color w:val="000000" w:themeColor="text1"/>
              </w:rPr>
              <w:t xml:space="preserve"> et S. Van </w:t>
            </w:r>
            <w:proofErr w:type="spellStart"/>
            <w:r>
              <w:rPr>
                <w:color w:val="000000" w:themeColor="text1"/>
              </w:rPr>
              <w:t>Drooghenbroeck</w:t>
            </w:r>
            <w:proofErr w:type="spellEnd"/>
            <w:r>
              <w:rPr>
                <w:color w:val="000000" w:themeColor="text1"/>
              </w:rPr>
              <w:t xml:space="preserve">, </w:t>
            </w:r>
            <w:proofErr w:type="spellStart"/>
            <w:proofErr w:type="gramStart"/>
            <w:r>
              <w:rPr>
                <w:color w:val="000000" w:themeColor="text1"/>
              </w:rPr>
              <w:t>Bruylant</w:t>
            </w:r>
            <w:proofErr w:type="spellEnd"/>
            <w:r>
              <w:rPr>
                <w:color w:val="000000" w:themeColor="text1"/>
              </w:rPr>
              <w:t xml:space="preserve"> ,</w:t>
            </w:r>
            <w:proofErr w:type="gramEnd"/>
            <w:r>
              <w:rPr>
                <w:color w:val="000000" w:themeColor="text1"/>
              </w:rPr>
              <w:t xml:space="preserve"> s. 271</w:t>
            </w:r>
            <w:r w:rsidR="00D56DD0">
              <w:rPr>
                <w:color w:val="000000" w:themeColor="text1"/>
              </w:rPr>
              <w:t xml:space="preserve"> a </w:t>
            </w:r>
            <w:r>
              <w:rPr>
                <w:color w:val="000000" w:themeColor="text1"/>
              </w:rPr>
              <w:t>násl.</w:t>
            </w:r>
          </w:p>
        </w:tc>
      </w:tr>
    </w:tbl>
    <w:p w14:paraId="197D6B7B" w14:textId="77777777" w:rsidR="00CA5340" w:rsidRDefault="00CA5340">
      <w:pPr>
        <w:rPr>
          <w:rFonts w:ascii="Calibri" w:hAnsi="Calibri" w:cs="Calibri"/>
          <w:sz w:val="22"/>
          <w:szCs w:val="22"/>
          <w:lang w:val="en-US"/>
        </w:rPr>
      </w:pPr>
    </w:p>
    <w:sectPr w:rsidR="00CA5340" w:rsidSect="00E46331">
      <w:pgSz w:w="11906" w:h="16838"/>
      <w:pgMar w:top="1417" w:right="1701" w:bottom="127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Open Sans">
    <w:charset w:val="00"/>
    <w:family w:val="swiss"/>
    <w:pitch w:val="variable"/>
    <w:sig w:usb0="E00002EF" w:usb1="4000205B" w:usb2="00000028"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DA164D"/>
    <w:multiLevelType w:val="hybridMultilevel"/>
    <w:tmpl w:val="5F104C2E"/>
    <w:lvl w:ilvl="0" w:tplc="FB5469CE">
      <w:start w:val="10"/>
      <w:numFmt w:val="bullet"/>
      <w:lvlText w:val=""/>
      <w:lvlJc w:val="left"/>
      <w:pPr>
        <w:ind w:left="1335" w:hanging="360"/>
      </w:pPr>
      <w:rPr>
        <w:rFonts w:ascii="Symbol" w:eastAsiaTheme="minorHAnsi" w:hAnsi="Symbol" w:cstheme="minorHAnsi" w:hint="default"/>
      </w:rPr>
    </w:lvl>
    <w:lvl w:ilvl="1" w:tplc="040C0003" w:tentative="1">
      <w:start w:val="1"/>
      <w:numFmt w:val="bullet"/>
      <w:lvlText w:val="o"/>
      <w:lvlJc w:val="left"/>
      <w:pPr>
        <w:ind w:left="2055" w:hanging="360"/>
      </w:pPr>
      <w:rPr>
        <w:rFonts w:ascii="Courier New" w:hAnsi="Courier New" w:cs="Courier New" w:hint="default"/>
      </w:rPr>
    </w:lvl>
    <w:lvl w:ilvl="2" w:tplc="040C0005" w:tentative="1">
      <w:start w:val="1"/>
      <w:numFmt w:val="bullet"/>
      <w:lvlText w:val=""/>
      <w:lvlJc w:val="left"/>
      <w:pPr>
        <w:ind w:left="2775" w:hanging="360"/>
      </w:pPr>
      <w:rPr>
        <w:rFonts w:ascii="Wingdings" w:hAnsi="Wingdings" w:hint="default"/>
      </w:rPr>
    </w:lvl>
    <w:lvl w:ilvl="3" w:tplc="040C0001" w:tentative="1">
      <w:start w:val="1"/>
      <w:numFmt w:val="bullet"/>
      <w:lvlText w:val=""/>
      <w:lvlJc w:val="left"/>
      <w:pPr>
        <w:ind w:left="3495" w:hanging="360"/>
      </w:pPr>
      <w:rPr>
        <w:rFonts w:ascii="Symbol" w:hAnsi="Symbol" w:hint="default"/>
      </w:rPr>
    </w:lvl>
    <w:lvl w:ilvl="4" w:tplc="040C0003" w:tentative="1">
      <w:start w:val="1"/>
      <w:numFmt w:val="bullet"/>
      <w:lvlText w:val="o"/>
      <w:lvlJc w:val="left"/>
      <w:pPr>
        <w:ind w:left="4215" w:hanging="360"/>
      </w:pPr>
      <w:rPr>
        <w:rFonts w:ascii="Courier New" w:hAnsi="Courier New" w:cs="Courier New" w:hint="default"/>
      </w:rPr>
    </w:lvl>
    <w:lvl w:ilvl="5" w:tplc="040C0005" w:tentative="1">
      <w:start w:val="1"/>
      <w:numFmt w:val="bullet"/>
      <w:lvlText w:val=""/>
      <w:lvlJc w:val="left"/>
      <w:pPr>
        <w:ind w:left="4935" w:hanging="360"/>
      </w:pPr>
      <w:rPr>
        <w:rFonts w:ascii="Wingdings" w:hAnsi="Wingdings" w:hint="default"/>
      </w:rPr>
    </w:lvl>
    <w:lvl w:ilvl="6" w:tplc="040C0001" w:tentative="1">
      <w:start w:val="1"/>
      <w:numFmt w:val="bullet"/>
      <w:lvlText w:val=""/>
      <w:lvlJc w:val="left"/>
      <w:pPr>
        <w:ind w:left="5655" w:hanging="360"/>
      </w:pPr>
      <w:rPr>
        <w:rFonts w:ascii="Symbol" w:hAnsi="Symbol" w:hint="default"/>
      </w:rPr>
    </w:lvl>
    <w:lvl w:ilvl="7" w:tplc="040C0003" w:tentative="1">
      <w:start w:val="1"/>
      <w:numFmt w:val="bullet"/>
      <w:lvlText w:val="o"/>
      <w:lvlJc w:val="left"/>
      <w:pPr>
        <w:ind w:left="6375" w:hanging="360"/>
      </w:pPr>
      <w:rPr>
        <w:rFonts w:ascii="Courier New" w:hAnsi="Courier New" w:cs="Courier New" w:hint="default"/>
      </w:rPr>
    </w:lvl>
    <w:lvl w:ilvl="8" w:tplc="040C0005" w:tentative="1">
      <w:start w:val="1"/>
      <w:numFmt w:val="bullet"/>
      <w:lvlText w:val=""/>
      <w:lvlJc w:val="left"/>
      <w:pPr>
        <w:ind w:left="7095" w:hanging="360"/>
      </w:pPr>
      <w:rPr>
        <w:rFonts w:ascii="Wingdings" w:hAnsi="Wingdings" w:hint="default"/>
      </w:rPr>
    </w:lvl>
  </w:abstractNum>
  <w:abstractNum w:abstractNumId="1" w15:restartNumberingAfterBreak="0">
    <w:nsid w:val="0BDD6081"/>
    <w:multiLevelType w:val="hybridMultilevel"/>
    <w:tmpl w:val="484ABC7A"/>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0ED1164A"/>
    <w:multiLevelType w:val="hybridMultilevel"/>
    <w:tmpl w:val="FCC81A8A"/>
    <w:lvl w:ilvl="0" w:tplc="E5F6BBA4">
      <w:start w:val="10"/>
      <w:numFmt w:val="bullet"/>
      <w:lvlText w:val=""/>
      <w:lvlJc w:val="left"/>
      <w:pPr>
        <w:ind w:left="720" w:hanging="360"/>
      </w:pPr>
      <w:rPr>
        <w:rFonts w:ascii="Symbol" w:eastAsia="Times New Roman" w:hAnsi="Symbol" w:cstheme="minorHAnsi" w:hint="default"/>
        <w:b w:val="0"/>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31011E3"/>
    <w:multiLevelType w:val="hybridMultilevel"/>
    <w:tmpl w:val="AB5A4FB4"/>
    <w:lvl w:ilvl="0" w:tplc="7F660906">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4" w15:restartNumberingAfterBreak="0">
    <w:nsid w:val="1A2534F0"/>
    <w:multiLevelType w:val="multilevel"/>
    <w:tmpl w:val="36A6C7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812D1F"/>
    <w:multiLevelType w:val="multilevel"/>
    <w:tmpl w:val="6A1C2D16"/>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2DE3E49"/>
    <w:multiLevelType w:val="hybridMultilevel"/>
    <w:tmpl w:val="EC04E714"/>
    <w:lvl w:ilvl="0" w:tplc="2C74A34A">
      <w:start w:val="1"/>
      <w:numFmt w:val="decimal"/>
      <w:lvlText w:val="%1."/>
      <w:lvlJc w:val="left"/>
      <w:pPr>
        <w:ind w:left="420" w:hanging="360"/>
      </w:pPr>
      <w:rPr>
        <w:rFonts w:hint="default"/>
      </w:rPr>
    </w:lvl>
    <w:lvl w:ilvl="1" w:tplc="040C0019" w:tentative="1">
      <w:start w:val="1"/>
      <w:numFmt w:val="lowerLetter"/>
      <w:lvlText w:val="%2."/>
      <w:lvlJc w:val="left"/>
      <w:pPr>
        <w:ind w:left="1140" w:hanging="360"/>
      </w:pPr>
    </w:lvl>
    <w:lvl w:ilvl="2" w:tplc="040C001B" w:tentative="1">
      <w:start w:val="1"/>
      <w:numFmt w:val="lowerRoman"/>
      <w:lvlText w:val="%3."/>
      <w:lvlJc w:val="right"/>
      <w:pPr>
        <w:ind w:left="1860" w:hanging="180"/>
      </w:pPr>
    </w:lvl>
    <w:lvl w:ilvl="3" w:tplc="040C000F" w:tentative="1">
      <w:start w:val="1"/>
      <w:numFmt w:val="decimal"/>
      <w:lvlText w:val="%4."/>
      <w:lvlJc w:val="left"/>
      <w:pPr>
        <w:ind w:left="2580" w:hanging="360"/>
      </w:pPr>
    </w:lvl>
    <w:lvl w:ilvl="4" w:tplc="040C0019" w:tentative="1">
      <w:start w:val="1"/>
      <w:numFmt w:val="lowerLetter"/>
      <w:lvlText w:val="%5."/>
      <w:lvlJc w:val="left"/>
      <w:pPr>
        <w:ind w:left="3300" w:hanging="360"/>
      </w:pPr>
    </w:lvl>
    <w:lvl w:ilvl="5" w:tplc="040C001B" w:tentative="1">
      <w:start w:val="1"/>
      <w:numFmt w:val="lowerRoman"/>
      <w:lvlText w:val="%6."/>
      <w:lvlJc w:val="right"/>
      <w:pPr>
        <w:ind w:left="4020" w:hanging="180"/>
      </w:pPr>
    </w:lvl>
    <w:lvl w:ilvl="6" w:tplc="040C000F" w:tentative="1">
      <w:start w:val="1"/>
      <w:numFmt w:val="decimal"/>
      <w:lvlText w:val="%7."/>
      <w:lvlJc w:val="left"/>
      <w:pPr>
        <w:ind w:left="4740" w:hanging="360"/>
      </w:pPr>
    </w:lvl>
    <w:lvl w:ilvl="7" w:tplc="040C0019" w:tentative="1">
      <w:start w:val="1"/>
      <w:numFmt w:val="lowerLetter"/>
      <w:lvlText w:val="%8."/>
      <w:lvlJc w:val="left"/>
      <w:pPr>
        <w:ind w:left="5460" w:hanging="360"/>
      </w:pPr>
    </w:lvl>
    <w:lvl w:ilvl="8" w:tplc="040C001B" w:tentative="1">
      <w:start w:val="1"/>
      <w:numFmt w:val="lowerRoman"/>
      <w:lvlText w:val="%9."/>
      <w:lvlJc w:val="right"/>
      <w:pPr>
        <w:ind w:left="6180" w:hanging="180"/>
      </w:pPr>
    </w:lvl>
  </w:abstractNum>
  <w:abstractNum w:abstractNumId="7" w15:restartNumberingAfterBreak="0">
    <w:nsid w:val="34490CD0"/>
    <w:multiLevelType w:val="hybridMultilevel"/>
    <w:tmpl w:val="B442D25C"/>
    <w:lvl w:ilvl="0" w:tplc="D3948ECA">
      <w:start w:val="1"/>
      <w:numFmt w:val="upperLetter"/>
      <w:lvlText w:val="%1."/>
      <w:lvlJc w:val="left"/>
      <w:pPr>
        <w:ind w:left="720" w:hanging="360"/>
      </w:pPr>
      <w:rPr>
        <w:rFonts w:ascii="Calibri" w:eastAsia="Times New Roman" w:hAnsi="Calibri" w:cs="Calibri"/>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8" w15:restartNumberingAfterBreak="0">
    <w:nsid w:val="3C6826F3"/>
    <w:multiLevelType w:val="hybridMultilevel"/>
    <w:tmpl w:val="37D411A2"/>
    <w:lvl w:ilvl="0" w:tplc="51C6B2BA">
      <w:start w:val="29"/>
      <w:numFmt w:val="bullet"/>
      <w:lvlText w:val="-"/>
      <w:lvlJc w:val="left"/>
      <w:pPr>
        <w:ind w:left="720" w:hanging="360"/>
      </w:pPr>
      <w:rPr>
        <w:rFonts w:ascii="Calibri" w:eastAsiaTheme="minorHAnsi" w:hAnsi="Calibri" w:cs="Calibri"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9" w15:restartNumberingAfterBreak="0">
    <w:nsid w:val="464C050C"/>
    <w:multiLevelType w:val="hybridMultilevel"/>
    <w:tmpl w:val="51742546"/>
    <w:lvl w:ilvl="0" w:tplc="C1102D0A">
      <w:start w:val="22"/>
      <w:numFmt w:val="bullet"/>
      <w:lvlText w:val="-"/>
      <w:lvlJc w:val="left"/>
      <w:pPr>
        <w:ind w:left="720" w:hanging="360"/>
      </w:pPr>
      <w:rPr>
        <w:rFonts w:ascii="Calibri" w:eastAsiaTheme="minorHAnsi" w:hAnsi="Calibri" w:cs="Calibri" w:hint="default"/>
        <w:i/>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0" w15:restartNumberingAfterBreak="0">
    <w:nsid w:val="59CA6CF9"/>
    <w:multiLevelType w:val="hybridMultilevel"/>
    <w:tmpl w:val="1B78140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1" w15:restartNumberingAfterBreak="0">
    <w:nsid w:val="5F366E07"/>
    <w:multiLevelType w:val="hybridMultilevel"/>
    <w:tmpl w:val="86E0E886"/>
    <w:lvl w:ilvl="0" w:tplc="040A0001">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2" w15:restartNumberingAfterBreak="0">
    <w:nsid w:val="608A6AF3"/>
    <w:multiLevelType w:val="hybridMultilevel"/>
    <w:tmpl w:val="D4A0A706"/>
    <w:lvl w:ilvl="0" w:tplc="262E1180">
      <w:start w:val="10"/>
      <w:numFmt w:val="bullet"/>
      <w:lvlText w:val=""/>
      <w:lvlJc w:val="left"/>
      <w:pPr>
        <w:ind w:left="840" w:hanging="360"/>
      </w:pPr>
      <w:rPr>
        <w:rFonts w:ascii="Symbol" w:eastAsia="Times New Roman" w:hAnsi="Symbol" w:cstheme="minorHAnsi" w:hint="default"/>
        <w:b w:val="0"/>
        <w:color w:val="auto"/>
      </w:rPr>
    </w:lvl>
    <w:lvl w:ilvl="1" w:tplc="040C0003" w:tentative="1">
      <w:start w:val="1"/>
      <w:numFmt w:val="bullet"/>
      <w:lvlText w:val="o"/>
      <w:lvlJc w:val="left"/>
      <w:pPr>
        <w:ind w:left="1560" w:hanging="360"/>
      </w:pPr>
      <w:rPr>
        <w:rFonts w:ascii="Courier New" w:hAnsi="Courier New" w:cs="Courier New" w:hint="default"/>
      </w:rPr>
    </w:lvl>
    <w:lvl w:ilvl="2" w:tplc="040C0005" w:tentative="1">
      <w:start w:val="1"/>
      <w:numFmt w:val="bullet"/>
      <w:lvlText w:val=""/>
      <w:lvlJc w:val="left"/>
      <w:pPr>
        <w:ind w:left="2280" w:hanging="360"/>
      </w:pPr>
      <w:rPr>
        <w:rFonts w:ascii="Wingdings" w:hAnsi="Wingdings" w:hint="default"/>
      </w:rPr>
    </w:lvl>
    <w:lvl w:ilvl="3" w:tplc="040C0001" w:tentative="1">
      <w:start w:val="1"/>
      <w:numFmt w:val="bullet"/>
      <w:lvlText w:val=""/>
      <w:lvlJc w:val="left"/>
      <w:pPr>
        <w:ind w:left="3000" w:hanging="360"/>
      </w:pPr>
      <w:rPr>
        <w:rFonts w:ascii="Symbol" w:hAnsi="Symbol" w:hint="default"/>
      </w:rPr>
    </w:lvl>
    <w:lvl w:ilvl="4" w:tplc="040C0003" w:tentative="1">
      <w:start w:val="1"/>
      <w:numFmt w:val="bullet"/>
      <w:lvlText w:val="o"/>
      <w:lvlJc w:val="left"/>
      <w:pPr>
        <w:ind w:left="3720" w:hanging="360"/>
      </w:pPr>
      <w:rPr>
        <w:rFonts w:ascii="Courier New" w:hAnsi="Courier New" w:cs="Courier New" w:hint="default"/>
      </w:rPr>
    </w:lvl>
    <w:lvl w:ilvl="5" w:tplc="040C0005" w:tentative="1">
      <w:start w:val="1"/>
      <w:numFmt w:val="bullet"/>
      <w:lvlText w:val=""/>
      <w:lvlJc w:val="left"/>
      <w:pPr>
        <w:ind w:left="4440" w:hanging="360"/>
      </w:pPr>
      <w:rPr>
        <w:rFonts w:ascii="Wingdings" w:hAnsi="Wingdings" w:hint="default"/>
      </w:rPr>
    </w:lvl>
    <w:lvl w:ilvl="6" w:tplc="040C0001" w:tentative="1">
      <w:start w:val="1"/>
      <w:numFmt w:val="bullet"/>
      <w:lvlText w:val=""/>
      <w:lvlJc w:val="left"/>
      <w:pPr>
        <w:ind w:left="5160" w:hanging="360"/>
      </w:pPr>
      <w:rPr>
        <w:rFonts w:ascii="Symbol" w:hAnsi="Symbol" w:hint="default"/>
      </w:rPr>
    </w:lvl>
    <w:lvl w:ilvl="7" w:tplc="040C0003" w:tentative="1">
      <w:start w:val="1"/>
      <w:numFmt w:val="bullet"/>
      <w:lvlText w:val="o"/>
      <w:lvlJc w:val="left"/>
      <w:pPr>
        <w:ind w:left="5880" w:hanging="360"/>
      </w:pPr>
      <w:rPr>
        <w:rFonts w:ascii="Courier New" w:hAnsi="Courier New" w:cs="Courier New" w:hint="default"/>
      </w:rPr>
    </w:lvl>
    <w:lvl w:ilvl="8" w:tplc="040C0005" w:tentative="1">
      <w:start w:val="1"/>
      <w:numFmt w:val="bullet"/>
      <w:lvlText w:val=""/>
      <w:lvlJc w:val="left"/>
      <w:pPr>
        <w:ind w:left="6600" w:hanging="360"/>
      </w:pPr>
      <w:rPr>
        <w:rFonts w:ascii="Wingdings" w:hAnsi="Wingdings" w:hint="default"/>
      </w:rPr>
    </w:lvl>
  </w:abstractNum>
  <w:abstractNum w:abstractNumId="13" w15:restartNumberingAfterBreak="0">
    <w:nsid w:val="6607721C"/>
    <w:multiLevelType w:val="hybridMultilevel"/>
    <w:tmpl w:val="F2FC46E6"/>
    <w:lvl w:ilvl="0" w:tplc="040A000F">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15:restartNumberingAfterBreak="0">
    <w:nsid w:val="689726FA"/>
    <w:multiLevelType w:val="hybridMultilevel"/>
    <w:tmpl w:val="2EB2D99E"/>
    <w:lvl w:ilvl="0" w:tplc="C8D2BBE8">
      <w:start w:val="10"/>
      <w:numFmt w:val="bullet"/>
      <w:lvlText w:val=""/>
      <w:lvlJc w:val="left"/>
      <w:pPr>
        <w:ind w:left="1290" w:hanging="360"/>
      </w:pPr>
      <w:rPr>
        <w:rFonts w:ascii="Symbol" w:eastAsiaTheme="minorHAnsi" w:hAnsi="Symbol" w:cstheme="minorHAnsi" w:hint="default"/>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15" w15:restartNumberingAfterBreak="0">
    <w:nsid w:val="78B74A04"/>
    <w:multiLevelType w:val="hybridMultilevel"/>
    <w:tmpl w:val="FE140478"/>
    <w:lvl w:ilvl="0" w:tplc="330A8182">
      <w:start w:val="10"/>
      <w:numFmt w:val="bullet"/>
      <w:lvlText w:val=""/>
      <w:lvlJc w:val="left"/>
      <w:pPr>
        <w:ind w:left="1695" w:hanging="360"/>
      </w:pPr>
      <w:rPr>
        <w:rFonts w:ascii="Symbol" w:eastAsiaTheme="minorHAnsi" w:hAnsi="Symbol" w:cstheme="minorHAnsi" w:hint="default"/>
      </w:rPr>
    </w:lvl>
    <w:lvl w:ilvl="1" w:tplc="040C0003" w:tentative="1">
      <w:start w:val="1"/>
      <w:numFmt w:val="bullet"/>
      <w:lvlText w:val="o"/>
      <w:lvlJc w:val="left"/>
      <w:pPr>
        <w:ind w:left="2415" w:hanging="360"/>
      </w:pPr>
      <w:rPr>
        <w:rFonts w:ascii="Courier New" w:hAnsi="Courier New" w:cs="Courier New" w:hint="default"/>
      </w:rPr>
    </w:lvl>
    <w:lvl w:ilvl="2" w:tplc="040C0005" w:tentative="1">
      <w:start w:val="1"/>
      <w:numFmt w:val="bullet"/>
      <w:lvlText w:val=""/>
      <w:lvlJc w:val="left"/>
      <w:pPr>
        <w:ind w:left="3135" w:hanging="360"/>
      </w:pPr>
      <w:rPr>
        <w:rFonts w:ascii="Wingdings" w:hAnsi="Wingdings" w:hint="default"/>
      </w:rPr>
    </w:lvl>
    <w:lvl w:ilvl="3" w:tplc="040C0001" w:tentative="1">
      <w:start w:val="1"/>
      <w:numFmt w:val="bullet"/>
      <w:lvlText w:val=""/>
      <w:lvlJc w:val="left"/>
      <w:pPr>
        <w:ind w:left="3855" w:hanging="360"/>
      </w:pPr>
      <w:rPr>
        <w:rFonts w:ascii="Symbol" w:hAnsi="Symbol" w:hint="default"/>
      </w:rPr>
    </w:lvl>
    <w:lvl w:ilvl="4" w:tplc="040C0003" w:tentative="1">
      <w:start w:val="1"/>
      <w:numFmt w:val="bullet"/>
      <w:lvlText w:val="o"/>
      <w:lvlJc w:val="left"/>
      <w:pPr>
        <w:ind w:left="4575" w:hanging="360"/>
      </w:pPr>
      <w:rPr>
        <w:rFonts w:ascii="Courier New" w:hAnsi="Courier New" w:cs="Courier New" w:hint="default"/>
      </w:rPr>
    </w:lvl>
    <w:lvl w:ilvl="5" w:tplc="040C0005" w:tentative="1">
      <w:start w:val="1"/>
      <w:numFmt w:val="bullet"/>
      <w:lvlText w:val=""/>
      <w:lvlJc w:val="left"/>
      <w:pPr>
        <w:ind w:left="5295" w:hanging="360"/>
      </w:pPr>
      <w:rPr>
        <w:rFonts w:ascii="Wingdings" w:hAnsi="Wingdings" w:hint="default"/>
      </w:rPr>
    </w:lvl>
    <w:lvl w:ilvl="6" w:tplc="040C0001" w:tentative="1">
      <w:start w:val="1"/>
      <w:numFmt w:val="bullet"/>
      <w:lvlText w:val=""/>
      <w:lvlJc w:val="left"/>
      <w:pPr>
        <w:ind w:left="6015" w:hanging="360"/>
      </w:pPr>
      <w:rPr>
        <w:rFonts w:ascii="Symbol" w:hAnsi="Symbol" w:hint="default"/>
      </w:rPr>
    </w:lvl>
    <w:lvl w:ilvl="7" w:tplc="040C0003" w:tentative="1">
      <w:start w:val="1"/>
      <w:numFmt w:val="bullet"/>
      <w:lvlText w:val="o"/>
      <w:lvlJc w:val="left"/>
      <w:pPr>
        <w:ind w:left="6735" w:hanging="360"/>
      </w:pPr>
      <w:rPr>
        <w:rFonts w:ascii="Courier New" w:hAnsi="Courier New" w:cs="Courier New" w:hint="default"/>
      </w:rPr>
    </w:lvl>
    <w:lvl w:ilvl="8" w:tplc="040C0005" w:tentative="1">
      <w:start w:val="1"/>
      <w:numFmt w:val="bullet"/>
      <w:lvlText w:val=""/>
      <w:lvlJc w:val="left"/>
      <w:pPr>
        <w:ind w:left="7455" w:hanging="360"/>
      </w:pPr>
      <w:rPr>
        <w:rFonts w:ascii="Wingdings" w:hAnsi="Wingdings" w:hint="default"/>
      </w:rPr>
    </w:lvl>
  </w:abstractNum>
  <w:num w:numId="1" w16cid:durableId="99764334">
    <w:abstractNumId w:val="10"/>
  </w:num>
  <w:num w:numId="2" w16cid:durableId="2113043257">
    <w:abstractNumId w:val="11"/>
  </w:num>
  <w:num w:numId="3" w16cid:durableId="2120177777">
    <w:abstractNumId w:val="1"/>
  </w:num>
  <w:num w:numId="4" w16cid:durableId="156655288">
    <w:abstractNumId w:val="9"/>
  </w:num>
  <w:num w:numId="5" w16cid:durableId="1450052522">
    <w:abstractNumId w:val="8"/>
  </w:num>
  <w:num w:numId="6" w16cid:durableId="111632181">
    <w:abstractNumId w:val="7"/>
  </w:num>
  <w:num w:numId="7" w16cid:durableId="1499230831">
    <w:abstractNumId w:val="13"/>
  </w:num>
  <w:num w:numId="8" w16cid:durableId="740827862">
    <w:abstractNumId w:val="4"/>
  </w:num>
  <w:num w:numId="9" w16cid:durableId="672804014">
    <w:abstractNumId w:val="5"/>
  </w:num>
  <w:num w:numId="10" w16cid:durableId="1536115112">
    <w:abstractNumId w:val="0"/>
  </w:num>
  <w:num w:numId="11" w16cid:durableId="1897473414">
    <w:abstractNumId w:val="15"/>
  </w:num>
  <w:num w:numId="12" w16cid:durableId="1543597701">
    <w:abstractNumId w:val="14"/>
  </w:num>
  <w:num w:numId="13" w16cid:durableId="1161577771">
    <w:abstractNumId w:val="2"/>
  </w:num>
  <w:num w:numId="14" w16cid:durableId="1173762555">
    <w:abstractNumId w:val="12"/>
  </w:num>
  <w:num w:numId="15" w16cid:durableId="292250787">
    <w:abstractNumId w:val="6"/>
  </w:num>
  <w:num w:numId="16" w16cid:durableId="92052428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compat>
    <w:compatSetting w:name="compatibilityMode" w:uri="http://schemas.microsoft.com/office/word" w:val="12"/>
    <w:compatSetting w:name="useWord2013TrackBottomHyphenation" w:uri="http://schemas.microsoft.com/office/word" w:val="1"/>
  </w:compat>
  <w:rsids>
    <w:rsidRoot w:val="0067453B"/>
    <w:rsid w:val="000018C7"/>
    <w:rsid w:val="00001AF5"/>
    <w:rsid w:val="00003B07"/>
    <w:rsid w:val="000067E9"/>
    <w:rsid w:val="00013927"/>
    <w:rsid w:val="00015916"/>
    <w:rsid w:val="000243FF"/>
    <w:rsid w:val="00030D65"/>
    <w:rsid w:val="00032E76"/>
    <w:rsid w:val="00035BA0"/>
    <w:rsid w:val="00051317"/>
    <w:rsid w:val="000523D5"/>
    <w:rsid w:val="000533DF"/>
    <w:rsid w:val="00071D94"/>
    <w:rsid w:val="000734C8"/>
    <w:rsid w:val="0008021E"/>
    <w:rsid w:val="000B1B95"/>
    <w:rsid w:val="000B4713"/>
    <w:rsid w:val="000B5D4E"/>
    <w:rsid w:val="000B7EF0"/>
    <w:rsid w:val="000C199B"/>
    <w:rsid w:val="000D4C77"/>
    <w:rsid w:val="000F5370"/>
    <w:rsid w:val="001304BC"/>
    <w:rsid w:val="00131A42"/>
    <w:rsid w:val="0014056C"/>
    <w:rsid w:val="00154E8B"/>
    <w:rsid w:val="00160815"/>
    <w:rsid w:val="00170954"/>
    <w:rsid w:val="00181E90"/>
    <w:rsid w:val="001845CC"/>
    <w:rsid w:val="00185ED2"/>
    <w:rsid w:val="00191A81"/>
    <w:rsid w:val="00194577"/>
    <w:rsid w:val="001A2778"/>
    <w:rsid w:val="001A5191"/>
    <w:rsid w:val="001B1D88"/>
    <w:rsid w:val="001B52AA"/>
    <w:rsid w:val="001B7646"/>
    <w:rsid w:val="001B794C"/>
    <w:rsid w:val="001C5D03"/>
    <w:rsid w:val="001D03B7"/>
    <w:rsid w:val="001D1753"/>
    <w:rsid w:val="001E2C27"/>
    <w:rsid w:val="001F6070"/>
    <w:rsid w:val="00200B81"/>
    <w:rsid w:val="002112F0"/>
    <w:rsid w:val="00211C7A"/>
    <w:rsid w:val="00213E82"/>
    <w:rsid w:val="00217736"/>
    <w:rsid w:val="00220B85"/>
    <w:rsid w:val="00221100"/>
    <w:rsid w:val="00225CD1"/>
    <w:rsid w:val="00240240"/>
    <w:rsid w:val="00247E74"/>
    <w:rsid w:val="00270563"/>
    <w:rsid w:val="00285934"/>
    <w:rsid w:val="00293961"/>
    <w:rsid w:val="002A1242"/>
    <w:rsid w:val="002A3E67"/>
    <w:rsid w:val="002A566E"/>
    <w:rsid w:val="002A6594"/>
    <w:rsid w:val="002A7F8C"/>
    <w:rsid w:val="002B6A95"/>
    <w:rsid w:val="002C153D"/>
    <w:rsid w:val="002F0B36"/>
    <w:rsid w:val="003046D4"/>
    <w:rsid w:val="00314213"/>
    <w:rsid w:val="00321DA2"/>
    <w:rsid w:val="00324B17"/>
    <w:rsid w:val="0033209F"/>
    <w:rsid w:val="00344D27"/>
    <w:rsid w:val="00345DA8"/>
    <w:rsid w:val="00350DE7"/>
    <w:rsid w:val="003573AD"/>
    <w:rsid w:val="003736FF"/>
    <w:rsid w:val="00374BC4"/>
    <w:rsid w:val="00383890"/>
    <w:rsid w:val="00385794"/>
    <w:rsid w:val="00390CC1"/>
    <w:rsid w:val="00395BEC"/>
    <w:rsid w:val="003A13EA"/>
    <w:rsid w:val="003A537F"/>
    <w:rsid w:val="003A78B8"/>
    <w:rsid w:val="003C07CD"/>
    <w:rsid w:val="003C72A3"/>
    <w:rsid w:val="003D4832"/>
    <w:rsid w:val="003D5062"/>
    <w:rsid w:val="003D69CC"/>
    <w:rsid w:val="003E1AF1"/>
    <w:rsid w:val="003E75F4"/>
    <w:rsid w:val="003F046D"/>
    <w:rsid w:val="003F0877"/>
    <w:rsid w:val="003F0E7C"/>
    <w:rsid w:val="003F114F"/>
    <w:rsid w:val="003F1A7B"/>
    <w:rsid w:val="003F5B37"/>
    <w:rsid w:val="00413FA7"/>
    <w:rsid w:val="004144B3"/>
    <w:rsid w:val="00417675"/>
    <w:rsid w:val="0042563B"/>
    <w:rsid w:val="004400CF"/>
    <w:rsid w:val="00472A1A"/>
    <w:rsid w:val="00491D96"/>
    <w:rsid w:val="004A0F69"/>
    <w:rsid w:val="004A1F7A"/>
    <w:rsid w:val="004A6ACD"/>
    <w:rsid w:val="004B31DA"/>
    <w:rsid w:val="004B653B"/>
    <w:rsid w:val="004B7AC0"/>
    <w:rsid w:val="004C045C"/>
    <w:rsid w:val="004C2E62"/>
    <w:rsid w:val="004C4CF7"/>
    <w:rsid w:val="004D3A7D"/>
    <w:rsid w:val="004E5E15"/>
    <w:rsid w:val="004F6AE2"/>
    <w:rsid w:val="005027E7"/>
    <w:rsid w:val="00510ABF"/>
    <w:rsid w:val="00512533"/>
    <w:rsid w:val="00514F1E"/>
    <w:rsid w:val="00530078"/>
    <w:rsid w:val="0053389F"/>
    <w:rsid w:val="00544C5E"/>
    <w:rsid w:val="0054782C"/>
    <w:rsid w:val="0055063A"/>
    <w:rsid w:val="00561C13"/>
    <w:rsid w:val="00565834"/>
    <w:rsid w:val="00573F3D"/>
    <w:rsid w:val="00583155"/>
    <w:rsid w:val="0059086C"/>
    <w:rsid w:val="005926A9"/>
    <w:rsid w:val="005B6D76"/>
    <w:rsid w:val="005E06B1"/>
    <w:rsid w:val="005E6A9A"/>
    <w:rsid w:val="00610508"/>
    <w:rsid w:val="00627EC8"/>
    <w:rsid w:val="006315EE"/>
    <w:rsid w:val="00641FD0"/>
    <w:rsid w:val="0065574F"/>
    <w:rsid w:val="00660C59"/>
    <w:rsid w:val="00671033"/>
    <w:rsid w:val="0067453B"/>
    <w:rsid w:val="00675FFA"/>
    <w:rsid w:val="00682A9D"/>
    <w:rsid w:val="006855A1"/>
    <w:rsid w:val="0068798F"/>
    <w:rsid w:val="00696182"/>
    <w:rsid w:val="006B4C7E"/>
    <w:rsid w:val="006C3A31"/>
    <w:rsid w:val="006C502E"/>
    <w:rsid w:val="006D24EA"/>
    <w:rsid w:val="006E5AD6"/>
    <w:rsid w:val="00705F31"/>
    <w:rsid w:val="00707DCA"/>
    <w:rsid w:val="00707DDA"/>
    <w:rsid w:val="0071253D"/>
    <w:rsid w:val="00714E6B"/>
    <w:rsid w:val="00730AED"/>
    <w:rsid w:val="00735375"/>
    <w:rsid w:val="0074174D"/>
    <w:rsid w:val="00756439"/>
    <w:rsid w:val="00761868"/>
    <w:rsid w:val="00780937"/>
    <w:rsid w:val="0078257C"/>
    <w:rsid w:val="0078783D"/>
    <w:rsid w:val="00796965"/>
    <w:rsid w:val="00796ED6"/>
    <w:rsid w:val="007A04BB"/>
    <w:rsid w:val="007B4007"/>
    <w:rsid w:val="007B7EA9"/>
    <w:rsid w:val="007C2CBF"/>
    <w:rsid w:val="007C526C"/>
    <w:rsid w:val="007D0736"/>
    <w:rsid w:val="007D12D9"/>
    <w:rsid w:val="007E3457"/>
    <w:rsid w:val="007F23A2"/>
    <w:rsid w:val="0080383B"/>
    <w:rsid w:val="00804287"/>
    <w:rsid w:val="00812DC9"/>
    <w:rsid w:val="00815447"/>
    <w:rsid w:val="00821478"/>
    <w:rsid w:val="0082738C"/>
    <w:rsid w:val="0083438F"/>
    <w:rsid w:val="008364CE"/>
    <w:rsid w:val="0084023F"/>
    <w:rsid w:val="00846A20"/>
    <w:rsid w:val="00851D45"/>
    <w:rsid w:val="00873EFD"/>
    <w:rsid w:val="00874760"/>
    <w:rsid w:val="00875600"/>
    <w:rsid w:val="008772F9"/>
    <w:rsid w:val="00877705"/>
    <w:rsid w:val="008812EC"/>
    <w:rsid w:val="008B1F67"/>
    <w:rsid w:val="008B2559"/>
    <w:rsid w:val="008B706D"/>
    <w:rsid w:val="008C32DC"/>
    <w:rsid w:val="008C44DD"/>
    <w:rsid w:val="008D357F"/>
    <w:rsid w:val="008F25E8"/>
    <w:rsid w:val="008F6DE6"/>
    <w:rsid w:val="009163AA"/>
    <w:rsid w:val="00920CB2"/>
    <w:rsid w:val="009350AB"/>
    <w:rsid w:val="00935DD9"/>
    <w:rsid w:val="00941B38"/>
    <w:rsid w:val="00956943"/>
    <w:rsid w:val="009721C9"/>
    <w:rsid w:val="009730E9"/>
    <w:rsid w:val="00977577"/>
    <w:rsid w:val="00984FA3"/>
    <w:rsid w:val="00994EDC"/>
    <w:rsid w:val="009B2454"/>
    <w:rsid w:val="009E7430"/>
    <w:rsid w:val="00A173BD"/>
    <w:rsid w:val="00A23550"/>
    <w:rsid w:val="00A24803"/>
    <w:rsid w:val="00A32F08"/>
    <w:rsid w:val="00A33570"/>
    <w:rsid w:val="00A34034"/>
    <w:rsid w:val="00A56354"/>
    <w:rsid w:val="00A75D90"/>
    <w:rsid w:val="00A760D5"/>
    <w:rsid w:val="00A81E12"/>
    <w:rsid w:val="00A83505"/>
    <w:rsid w:val="00A85BE9"/>
    <w:rsid w:val="00A92450"/>
    <w:rsid w:val="00AA5127"/>
    <w:rsid w:val="00AB4542"/>
    <w:rsid w:val="00AB6B17"/>
    <w:rsid w:val="00AB73A9"/>
    <w:rsid w:val="00AC4C48"/>
    <w:rsid w:val="00AD0BC6"/>
    <w:rsid w:val="00AE7309"/>
    <w:rsid w:val="00AF06A8"/>
    <w:rsid w:val="00AF66B9"/>
    <w:rsid w:val="00AF7429"/>
    <w:rsid w:val="00B1654B"/>
    <w:rsid w:val="00B2109B"/>
    <w:rsid w:val="00B2298C"/>
    <w:rsid w:val="00B3796E"/>
    <w:rsid w:val="00B436EB"/>
    <w:rsid w:val="00B535DF"/>
    <w:rsid w:val="00B53E03"/>
    <w:rsid w:val="00B616A2"/>
    <w:rsid w:val="00B640B4"/>
    <w:rsid w:val="00B8247F"/>
    <w:rsid w:val="00B8614A"/>
    <w:rsid w:val="00B863C6"/>
    <w:rsid w:val="00B86878"/>
    <w:rsid w:val="00BA798D"/>
    <w:rsid w:val="00BD1743"/>
    <w:rsid w:val="00BD5E46"/>
    <w:rsid w:val="00BD60C8"/>
    <w:rsid w:val="00C06787"/>
    <w:rsid w:val="00C2552F"/>
    <w:rsid w:val="00C27840"/>
    <w:rsid w:val="00C51BA5"/>
    <w:rsid w:val="00C637A3"/>
    <w:rsid w:val="00C64714"/>
    <w:rsid w:val="00C961B1"/>
    <w:rsid w:val="00CA5340"/>
    <w:rsid w:val="00CA7AB0"/>
    <w:rsid w:val="00CB062F"/>
    <w:rsid w:val="00CB11A3"/>
    <w:rsid w:val="00CB73B0"/>
    <w:rsid w:val="00CC440E"/>
    <w:rsid w:val="00CC644A"/>
    <w:rsid w:val="00CD0AE5"/>
    <w:rsid w:val="00CD1E76"/>
    <w:rsid w:val="00CD5214"/>
    <w:rsid w:val="00CD5BD1"/>
    <w:rsid w:val="00CE00ED"/>
    <w:rsid w:val="00CE53DF"/>
    <w:rsid w:val="00CF42BE"/>
    <w:rsid w:val="00CF791A"/>
    <w:rsid w:val="00D0045E"/>
    <w:rsid w:val="00D13DB3"/>
    <w:rsid w:val="00D15A4C"/>
    <w:rsid w:val="00D21EF5"/>
    <w:rsid w:val="00D25571"/>
    <w:rsid w:val="00D26217"/>
    <w:rsid w:val="00D268C9"/>
    <w:rsid w:val="00D34752"/>
    <w:rsid w:val="00D36256"/>
    <w:rsid w:val="00D5063C"/>
    <w:rsid w:val="00D56DD0"/>
    <w:rsid w:val="00D803F5"/>
    <w:rsid w:val="00D94BB1"/>
    <w:rsid w:val="00DB1E1D"/>
    <w:rsid w:val="00DB43A2"/>
    <w:rsid w:val="00DB4BB6"/>
    <w:rsid w:val="00DB5E52"/>
    <w:rsid w:val="00DC4CB0"/>
    <w:rsid w:val="00DC551B"/>
    <w:rsid w:val="00DD3AE4"/>
    <w:rsid w:val="00DE132E"/>
    <w:rsid w:val="00DE4F63"/>
    <w:rsid w:val="00DE6C6F"/>
    <w:rsid w:val="00DE7361"/>
    <w:rsid w:val="00E04334"/>
    <w:rsid w:val="00E23BEC"/>
    <w:rsid w:val="00E271FF"/>
    <w:rsid w:val="00E2733F"/>
    <w:rsid w:val="00E44C9E"/>
    <w:rsid w:val="00E46331"/>
    <w:rsid w:val="00E53E69"/>
    <w:rsid w:val="00E626A8"/>
    <w:rsid w:val="00E66541"/>
    <w:rsid w:val="00EA1F8A"/>
    <w:rsid w:val="00EA5CF6"/>
    <w:rsid w:val="00EA6BAF"/>
    <w:rsid w:val="00EB563B"/>
    <w:rsid w:val="00EC2967"/>
    <w:rsid w:val="00EC3459"/>
    <w:rsid w:val="00EC3A68"/>
    <w:rsid w:val="00ED4EC6"/>
    <w:rsid w:val="00ED69DF"/>
    <w:rsid w:val="00EE5F2C"/>
    <w:rsid w:val="00EF1D73"/>
    <w:rsid w:val="00EF7A1F"/>
    <w:rsid w:val="00F00B27"/>
    <w:rsid w:val="00F016A9"/>
    <w:rsid w:val="00F201CF"/>
    <w:rsid w:val="00F22CD2"/>
    <w:rsid w:val="00F23211"/>
    <w:rsid w:val="00F23A1E"/>
    <w:rsid w:val="00F31726"/>
    <w:rsid w:val="00F37AEB"/>
    <w:rsid w:val="00F37C28"/>
    <w:rsid w:val="00F4057A"/>
    <w:rsid w:val="00F44968"/>
    <w:rsid w:val="00F52929"/>
    <w:rsid w:val="00F52C40"/>
    <w:rsid w:val="00F563CD"/>
    <w:rsid w:val="00F61506"/>
    <w:rsid w:val="00F63096"/>
    <w:rsid w:val="00F67BAA"/>
    <w:rsid w:val="00F760AF"/>
    <w:rsid w:val="00F807AB"/>
    <w:rsid w:val="00F854C2"/>
    <w:rsid w:val="00F94AAE"/>
    <w:rsid w:val="00FA09D9"/>
    <w:rsid w:val="00FA3870"/>
    <w:rsid w:val="00FC2D5E"/>
    <w:rsid w:val="00FC3B3E"/>
    <w:rsid w:val="00FC63D0"/>
    <w:rsid w:val="00FD73D3"/>
    <w:rsid w:val="00FD7458"/>
    <w:rsid w:val="00FE4DC1"/>
    <w:rsid w:val="00FF6E05"/>
    <w:rsid w:val="00FF753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6D8870B7"/>
  <w15:docId w15:val="{DC8B447A-BAC8-4112-9628-544C2CE8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82A9D"/>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7453B"/>
    <w:pPr>
      <w:spacing w:before="100" w:beforeAutospacing="1" w:after="100" w:afterAutospacing="1"/>
    </w:pPr>
    <w:rPr>
      <w:rFonts w:ascii="Times New Roman" w:eastAsia="Times New Roman" w:hAnsi="Times New Roman" w:cs="Times New Roman"/>
      <w:kern w:val="0"/>
      <w:lang w:eastAsia="es-ES_tradnl"/>
    </w:rPr>
  </w:style>
  <w:style w:type="table" w:styleId="Mkatabulky">
    <w:name w:val="Table Grid"/>
    <w:basedOn w:val="Normlntabulka"/>
    <w:uiPriority w:val="39"/>
    <w:rsid w:val="00B436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C502E"/>
    <w:pPr>
      <w:ind w:left="720"/>
      <w:contextualSpacing/>
    </w:pPr>
  </w:style>
  <w:style w:type="character" w:customStyle="1" w:styleId="ui-provider">
    <w:name w:val="ui-provider"/>
    <w:basedOn w:val="Standardnpsmoodstavce"/>
    <w:rsid w:val="001B1D88"/>
  </w:style>
  <w:style w:type="character" w:styleId="Hypertextovodkaz">
    <w:name w:val="Hyperlink"/>
    <w:basedOn w:val="Standardnpsmoodstavce"/>
    <w:uiPriority w:val="99"/>
    <w:unhideWhenUsed/>
    <w:rsid w:val="001B1D88"/>
    <w:rPr>
      <w:color w:val="0000FF"/>
      <w:u w:val="single"/>
    </w:rPr>
  </w:style>
  <w:style w:type="character" w:customStyle="1" w:styleId="Nevyeenzmnka1">
    <w:name w:val="Nevyřešená zmínka1"/>
    <w:basedOn w:val="Standardnpsmoodstavce"/>
    <w:uiPriority w:val="99"/>
    <w:semiHidden/>
    <w:unhideWhenUsed/>
    <w:rsid w:val="00F31726"/>
    <w:rPr>
      <w:color w:val="605E5C"/>
      <w:shd w:val="clear" w:color="auto" w:fill="E1DFDD"/>
    </w:rPr>
  </w:style>
  <w:style w:type="character" w:styleId="Sledovanodkaz">
    <w:name w:val="FollowedHyperlink"/>
    <w:basedOn w:val="Standardnpsmoodstavce"/>
    <w:uiPriority w:val="99"/>
    <w:semiHidden/>
    <w:unhideWhenUsed/>
    <w:rsid w:val="00F31726"/>
    <w:rPr>
      <w:color w:val="954F72" w:themeColor="followedHyperlink"/>
      <w:u w:val="single"/>
    </w:rPr>
  </w:style>
  <w:style w:type="character" w:styleId="Zdraznn">
    <w:name w:val="Emphasis"/>
    <w:basedOn w:val="Standardnpsmoodstavce"/>
    <w:uiPriority w:val="20"/>
    <w:qFormat/>
    <w:rsid w:val="00DC4CB0"/>
    <w:rPr>
      <w:i/>
      <w:iCs/>
    </w:rPr>
  </w:style>
  <w:style w:type="paragraph" w:customStyle="1" w:styleId="coj-count">
    <w:name w:val="coj-count"/>
    <w:basedOn w:val="Normln"/>
    <w:rsid w:val="00EA6BAF"/>
    <w:pPr>
      <w:spacing w:before="100" w:beforeAutospacing="1" w:after="100" w:afterAutospacing="1"/>
    </w:pPr>
    <w:rPr>
      <w:rFonts w:ascii="Times New Roman" w:eastAsia="Times New Roman" w:hAnsi="Times New Roman" w:cs="Times New Roman"/>
      <w:kern w:val="0"/>
      <w:lang w:eastAsia="fr-FR"/>
    </w:rPr>
  </w:style>
  <w:style w:type="paragraph" w:customStyle="1" w:styleId="coj-normal">
    <w:name w:val="coj-normal"/>
    <w:basedOn w:val="Normln"/>
    <w:rsid w:val="00EA6BAF"/>
    <w:pPr>
      <w:spacing w:before="100" w:beforeAutospacing="1" w:after="100" w:afterAutospacing="1"/>
    </w:pPr>
    <w:rPr>
      <w:rFonts w:ascii="Times New Roman" w:eastAsia="Times New Roman" w:hAnsi="Times New Roman" w:cs="Times New Roman"/>
      <w:kern w:val="0"/>
      <w:lang w:eastAsia="fr-FR"/>
    </w:rPr>
  </w:style>
  <w:style w:type="paragraph" w:customStyle="1" w:styleId="Normal1">
    <w:name w:val="Normal1"/>
    <w:basedOn w:val="Normln"/>
    <w:rsid w:val="00D34752"/>
    <w:pPr>
      <w:spacing w:before="100" w:beforeAutospacing="1" w:after="100" w:afterAutospacing="1"/>
    </w:pPr>
    <w:rPr>
      <w:rFonts w:ascii="Times New Roman" w:eastAsia="Times New Roman" w:hAnsi="Times New Roman" w:cs="Times New Roman"/>
      <w:kern w:val="0"/>
      <w:lang w:eastAsia="fr-FR"/>
    </w:rPr>
  </w:style>
  <w:style w:type="character" w:customStyle="1" w:styleId="bold">
    <w:name w:val="bold"/>
    <w:basedOn w:val="Standardnpsmoodstavce"/>
    <w:rsid w:val="00D34752"/>
  </w:style>
  <w:style w:type="paragraph" w:customStyle="1" w:styleId="pnormal">
    <w:name w:val="pnormal"/>
    <w:basedOn w:val="Normln"/>
    <w:rsid w:val="00D34752"/>
    <w:pPr>
      <w:spacing w:before="100" w:beforeAutospacing="1" w:after="100" w:afterAutospacing="1"/>
    </w:pPr>
    <w:rPr>
      <w:rFonts w:ascii="Times New Roman" w:eastAsia="Times New Roman" w:hAnsi="Times New Roman" w:cs="Times New Roman"/>
      <w:kern w:val="0"/>
      <w:lang w:eastAsia="fr-FR"/>
    </w:rPr>
  </w:style>
  <w:style w:type="paragraph" w:customStyle="1" w:styleId="count">
    <w:name w:val="count"/>
    <w:basedOn w:val="Normln"/>
    <w:rsid w:val="003D5062"/>
    <w:pPr>
      <w:spacing w:before="100" w:beforeAutospacing="1" w:after="100" w:afterAutospacing="1"/>
    </w:pPr>
    <w:rPr>
      <w:rFonts w:ascii="Times New Roman" w:eastAsia="Times New Roman" w:hAnsi="Times New Roman" w:cs="Times New Roman"/>
      <w:kern w:val="0"/>
      <w:lang w:eastAsia="fr-FR"/>
    </w:rPr>
  </w:style>
  <w:style w:type="character" w:customStyle="1" w:styleId="italic">
    <w:name w:val="italic"/>
    <w:basedOn w:val="Standardnpsmoodstavce"/>
    <w:rsid w:val="008364CE"/>
  </w:style>
  <w:style w:type="paragraph" w:customStyle="1" w:styleId="c01pointnumerotealtn">
    <w:name w:val="c01pointnumerotealtn"/>
    <w:basedOn w:val="Normln"/>
    <w:rsid w:val="00F67BAA"/>
    <w:pPr>
      <w:spacing w:before="100" w:beforeAutospacing="1" w:after="100" w:afterAutospacing="1"/>
    </w:pPr>
    <w:rPr>
      <w:rFonts w:ascii="Times New Roman" w:eastAsia="Times New Roman" w:hAnsi="Times New Roman" w:cs="Times New Roman"/>
      <w:kern w:val="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88239">
      <w:bodyDiv w:val="1"/>
      <w:marLeft w:val="0"/>
      <w:marRight w:val="0"/>
      <w:marTop w:val="0"/>
      <w:marBottom w:val="0"/>
      <w:divBdr>
        <w:top w:val="none" w:sz="0" w:space="0" w:color="auto"/>
        <w:left w:val="none" w:sz="0" w:space="0" w:color="auto"/>
        <w:bottom w:val="none" w:sz="0" w:space="0" w:color="auto"/>
        <w:right w:val="none" w:sz="0" w:space="0" w:color="auto"/>
      </w:divBdr>
      <w:divsChild>
        <w:div w:id="997421943">
          <w:marLeft w:val="0"/>
          <w:marRight w:val="0"/>
          <w:marTop w:val="0"/>
          <w:marBottom w:val="0"/>
          <w:divBdr>
            <w:top w:val="none" w:sz="0" w:space="0" w:color="auto"/>
            <w:left w:val="none" w:sz="0" w:space="0" w:color="auto"/>
            <w:bottom w:val="none" w:sz="0" w:space="0" w:color="auto"/>
            <w:right w:val="none" w:sz="0" w:space="0" w:color="auto"/>
          </w:divBdr>
        </w:div>
        <w:div w:id="1498185710">
          <w:marLeft w:val="0"/>
          <w:marRight w:val="0"/>
          <w:marTop w:val="0"/>
          <w:marBottom w:val="0"/>
          <w:divBdr>
            <w:top w:val="none" w:sz="0" w:space="0" w:color="auto"/>
            <w:left w:val="none" w:sz="0" w:space="0" w:color="auto"/>
            <w:bottom w:val="none" w:sz="0" w:space="0" w:color="auto"/>
            <w:right w:val="none" w:sz="0" w:space="0" w:color="auto"/>
          </w:divBdr>
        </w:div>
        <w:div w:id="26950927">
          <w:marLeft w:val="0"/>
          <w:marRight w:val="0"/>
          <w:marTop w:val="0"/>
          <w:marBottom w:val="0"/>
          <w:divBdr>
            <w:top w:val="none" w:sz="0" w:space="0" w:color="auto"/>
            <w:left w:val="none" w:sz="0" w:space="0" w:color="auto"/>
            <w:bottom w:val="none" w:sz="0" w:space="0" w:color="auto"/>
            <w:right w:val="none" w:sz="0" w:space="0" w:color="auto"/>
          </w:divBdr>
        </w:div>
        <w:div w:id="356808892">
          <w:marLeft w:val="0"/>
          <w:marRight w:val="0"/>
          <w:marTop w:val="0"/>
          <w:marBottom w:val="0"/>
          <w:divBdr>
            <w:top w:val="none" w:sz="0" w:space="0" w:color="auto"/>
            <w:left w:val="none" w:sz="0" w:space="0" w:color="auto"/>
            <w:bottom w:val="none" w:sz="0" w:space="0" w:color="auto"/>
            <w:right w:val="none" w:sz="0" w:space="0" w:color="auto"/>
          </w:divBdr>
        </w:div>
      </w:divsChild>
    </w:div>
    <w:div w:id="88891682">
      <w:bodyDiv w:val="1"/>
      <w:marLeft w:val="0"/>
      <w:marRight w:val="0"/>
      <w:marTop w:val="0"/>
      <w:marBottom w:val="0"/>
      <w:divBdr>
        <w:top w:val="none" w:sz="0" w:space="0" w:color="auto"/>
        <w:left w:val="none" w:sz="0" w:space="0" w:color="auto"/>
        <w:bottom w:val="none" w:sz="0" w:space="0" w:color="auto"/>
        <w:right w:val="none" w:sz="0" w:space="0" w:color="auto"/>
      </w:divBdr>
    </w:div>
    <w:div w:id="149712547">
      <w:bodyDiv w:val="1"/>
      <w:marLeft w:val="0"/>
      <w:marRight w:val="0"/>
      <w:marTop w:val="0"/>
      <w:marBottom w:val="0"/>
      <w:divBdr>
        <w:top w:val="none" w:sz="0" w:space="0" w:color="auto"/>
        <w:left w:val="none" w:sz="0" w:space="0" w:color="auto"/>
        <w:bottom w:val="none" w:sz="0" w:space="0" w:color="auto"/>
        <w:right w:val="none" w:sz="0" w:space="0" w:color="auto"/>
      </w:divBdr>
    </w:div>
    <w:div w:id="189148726">
      <w:bodyDiv w:val="1"/>
      <w:marLeft w:val="0"/>
      <w:marRight w:val="0"/>
      <w:marTop w:val="0"/>
      <w:marBottom w:val="0"/>
      <w:divBdr>
        <w:top w:val="none" w:sz="0" w:space="0" w:color="auto"/>
        <w:left w:val="none" w:sz="0" w:space="0" w:color="auto"/>
        <w:bottom w:val="none" w:sz="0" w:space="0" w:color="auto"/>
        <w:right w:val="none" w:sz="0" w:space="0" w:color="auto"/>
      </w:divBdr>
      <w:divsChild>
        <w:div w:id="1098135453">
          <w:marLeft w:val="0"/>
          <w:marRight w:val="0"/>
          <w:marTop w:val="0"/>
          <w:marBottom w:val="0"/>
          <w:divBdr>
            <w:top w:val="none" w:sz="0" w:space="0" w:color="auto"/>
            <w:left w:val="none" w:sz="0" w:space="0" w:color="auto"/>
            <w:bottom w:val="none" w:sz="0" w:space="0" w:color="auto"/>
            <w:right w:val="none" w:sz="0" w:space="0" w:color="auto"/>
          </w:divBdr>
          <w:divsChild>
            <w:div w:id="520364442">
              <w:marLeft w:val="0"/>
              <w:marRight w:val="0"/>
              <w:marTop w:val="0"/>
              <w:marBottom w:val="0"/>
              <w:divBdr>
                <w:top w:val="none" w:sz="0" w:space="0" w:color="auto"/>
                <w:left w:val="none" w:sz="0" w:space="0" w:color="auto"/>
                <w:bottom w:val="none" w:sz="0" w:space="0" w:color="auto"/>
                <w:right w:val="none" w:sz="0" w:space="0" w:color="auto"/>
              </w:divBdr>
              <w:divsChild>
                <w:div w:id="1582450892">
                  <w:marLeft w:val="0"/>
                  <w:marRight w:val="0"/>
                  <w:marTop w:val="0"/>
                  <w:marBottom w:val="0"/>
                  <w:divBdr>
                    <w:top w:val="none" w:sz="0" w:space="0" w:color="auto"/>
                    <w:left w:val="none" w:sz="0" w:space="0" w:color="auto"/>
                    <w:bottom w:val="none" w:sz="0" w:space="0" w:color="auto"/>
                    <w:right w:val="none" w:sz="0" w:space="0" w:color="auto"/>
                  </w:divBdr>
                </w:div>
                <w:div w:id="1494688417">
                  <w:marLeft w:val="0"/>
                  <w:marRight w:val="0"/>
                  <w:marTop w:val="0"/>
                  <w:marBottom w:val="0"/>
                  <w:divBdr>
                    <w:top w:val="none" w:sz="0" w:space="0" w:color="auto"/>
                    <w:left w:val="none" w:sz="0" w:space="0" w:color="auto"/>
                    <w:bottom w:val="none" w:sz="0" w:space="0" w:color="auto"/>
                    <w:right w:val="none" w:sz="0" w:space="0" w:color="auto"/>
                  </w:divBdr>
                </w:div>
              </w:divsChild>
            </w:div>
            <w:div w:id="1804808737">
              <w:marLeft w:val="0"/>
              <w:marRight w:val="0"/>
              <w:marTop w:val="0"/>
              <w:marBottom w:val="0"/>
              <w:divBdr>
                <w:top w:val="none" w:sz="0" w:space="0" w:color="auto"/>
                <w:left w:val="none" w:sz="0" w:space="0" w:color="auto"/>
                <w:bottom w:val="none" w:sz="0" w:space="0" w:color="auto"/>
                <w:right w:val="none" w:sz="0" w:space="0" w:color="auto"/>
              </w:divBdr>
              <w:divsChild>
                <w:div w:id="789057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3193614">
      <w:bodyDiv w:val="1"/>
      <w:marLeft w:val="0"/>
      <w:marRight w:val="0"/>
      <w:marTop w:val="0"/>
      <w:marBottom w:val="0"/>
      <w:divBdr>
        <w:top w:val="none" w:sz="0" w:space="0" w:color="auto"/>
        <w:left w:val="none" w:sz="0" w:space="0" w:color="auto"/>
        <w:bottom w:val="none" w:sz="0" w:space="0" w:color="auto"/>
        <w:right w:val="none" w:sz="0" w:space="0" w:color="auto"/>
      </w:divBdr>
      <w:divsChild>
        <w:div w:id="1666977839">
          <w:marLeft w:val="0"/>
          <w:marRight w:val="0"/>
          <w:marTop w:val="0"/>
          <w:marBottom w:val="0"/>
          <w:divBdr>
            <w:top w:val="none" w:sz="0" w:space="0" w:color="auto"/>
            <w:left w:val="none" w:sz="0" w:space="0" w:color="auto"/>
            <w:bottom w:val="none" w:sz="0" w:space="0" w:color="auto"/>
            <w:right w:val="none" w:sz="0" w:space="0" w:color="auto"/>
          </w:divBdr>
        </w:div>
        <w:div w:id="1630863824">
          <w:marLeft w:val="0"/>
          <w:marRight w:val="0"/>
          <w:marTop w:val="0"/>
          <w:marBottom w:val="0"/>
          <w:divBdr>
            <w:top w:val="none" w:sz="0" w:space="0" w:color="auto"/>
            <w:left w:val="none" w:sz="0" w:space="0" w:color="auto"/>
            <w:bottom w:val="none" w:sz="0" w:space="0" w:color="auto"/>
            <w:right w:val="none" w:sz="0" w:space="0" w:color="auto"/>
          </w:divBdr>
        </w:div>
        <w:div w:id="533424119">
          <w:marLeft w:val="0"/>
          <w:marRight w:val="0"/>
          <w:marTop w:val="0"/>
          <w:marBottom w:val="0"/>
          <w:divBdr>
            <w:top w:val="none" w:sz="0" w:space="0" w:color="auto"/>
            <w:left w:val="none" w:sz="0" w:space="0" w:color="auto"/>
            <w:bottom w:val="none" w:sz="0" w:space="0" w:color="auto"/>
            <w:right w:val="none" w:sz="0" w:space="0" w:color="auto"/>
          </w:divBdr>
        </w:div>
      </w:divsChild>
    </w:div>
    <w:div w:id="314914064">
      <w:bodyDiv w:val="1"/>
      <w:marLeft w:val="0"/>
      <w:marRight w:val="0"/>
      <w:marTop w:val="0"/>
      <w:marBottom w:val="0"/>
      <w:divBdr>
        <w:top w:val="none" w:sz="0" w:space="0" w:color="auto"/>
        <w:left w:val="none" w:sz="0" w:space="0" w:color="auto"/>
        <w:bottom w:val="none" w:sz="0" w:space="0" w:color="auto"/>
        <w:right w:val="none" w:sz="0" w:space="0" w:color="auto"/>
      </w:divBdr>
    </w:div>
    <w:div w:id="402604943">
      <w:bodyDiv w:val="1"/>
      <w:marLeft w:val="0"/>
      <w:marRight w:val="0"/>
      <w:marTop w:val="0"/>
      <w:marBottom w:val="0"/>
      <w:divBdr>
        <w:top w:val="none" w:sz="0" w:space="0" w:color="auto"/>
        <w:left w:val="none" w:sz="0" w:space="0" w:color="auto"/>
        <w:bottom w:val="none" w:sz="0" w:space="0" w:color="auto"/>
        <w:right w:val="none" w:sz="0" w:space="0" w:color="auto"/>
      </w:divBdr>
      <w:divsChild>
        <w:div w:id="784425074">
          <w:marLeft w:val="0"/>
          <w:marRight w:val="0"/>
          <w:marTop w:val="0"/>
          <w:marBottom w:val="0"/>
          <w:divBdr>
            <w:top w:val="none" w:sz="0" w:space="0" w:color="auto"/>
            <w:left w:val="none" w:sz="0" w:space="0" w:color="auto"/>
            <w:bottom w:val="none" w:sz="0" w:space="0" w:color="auto"/>
            <w:right w:val="none" w:sz="0" w:space="0" w:color="auto"/>
          </w:divBdr>
        </w:div>
        <w:div w:id="1145851029">
          <w:marLeft w:val="0"/>
          <w:marRight w:val="0"/>
          <w:marTop w:val="0"/>
          <w:marBottom w:val="0"/>
          <w:divBdr>
            <w:top w:val="none" w:sz="0" w:space="0" w:color="auto"/>
            <w:left w:val="none" w:sz="0" w:space="0" w:color="auto"/>
            <w:bottom w:val="none" w:sz="0" w:space="0" w:color="auto"/>
            <w:right w:val="none" w:sz="0" w:space="0" w:color="auto"/>
          </w:divBdr>
          <w:divsChild>
            <w:div w:id="534317188">
              <w:marLeft w:val="60"/>
              <w:marRight w:val="0"/>
              <w:marTop w:val="0"/>
              <w:marBottom w:val="0"/>
              <w:divBdr>
                <w:top w:val="none" w:sz="0" w:space="0" w:color="auto"/>
                <w:left w:val="none" w:sz="0" w:space="0" w:color="auto"/>
                <w:bottom w:val="none" w:sz="0" w:space="0" w:color="auto"/>
                <w:right w:val="none" w:sz="0" w:space="0" w:color="auto"/>
              </w:divBdr>
            </w:div>
          </w:divsChild>
        </w:div>
        <w:div w:id="686563806">
          <w:marLeft w:val="0"/>
          <w:marRight w:val="0"/>
          <w:marTop w:val="0"/>
          <w:marBottom w:val="0"/>
          <w:divBdr>
            <w:top w:val="none" w:sz="0" w:space="0" w:color="auto"/>
            <w:left w:val="none" w:sz="0" w:space="0" w:color="auto"/>
            <w:bottom w:val="none" w:sz="0" w:space="0" w:color="auto"/>
            <w:right w:val="none" w:sz="0" w:space="0" w:color="auto"/>
          </w:divBdr>
          <w:divsChild>
            <w:div w:id="2081171139">
              <w:marLeft w:val="60"/>
              <w:marRight w:val="0"/>
              <w:marTop w:val="0"/>
              <w:marBottom w:val="0"/>
              <w:divBdr>
                <w:top w:val="none" w:sz="0" w:space="0" w:color="auto"/>
                <w:left w:val="none" w:sz="0" w:space="0" w:color="auto"/>
                <w:bottom w:val="none" w:sz="0" w:space="0" w:color="auto"/>
                <w:right w:val="none" w:sz="0" w:space="0" w:color="auto"/>
              </w:divBdr>
            </w:div>
          </w:divsChild>
        </w:div>
        <w:div w:id="1592003132">
          <w:marLeft w:val="0"/>
          <w:marRight w:val="0"/>
          <w:marTop w:val="0"/>
          <w:marBottom w:val="0"/>
          <w:divBdr>
            <w:top w:val="none" w:sz="0" w:space="0" w:color="auto"/>
            <w:left w:val="none" w:sz="0" w:space="0" w:color="auto"/>
            <w:bottom w:val="none" w:sz="0" w:space="0" w:color="auto"/>
            <w:right w:val="none" w:sz="0" w:space="0" w:color="auto"/>
          </w:divBdr>
          <w:divsChild>
            <w:div w:id="11259269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7162677">
      <w:bodyDiv w:val="1"/>
      <w:marLeft w:val="0"/>
      <w:marRight w:val="0"/>
      <w:marTop w:val="0"/>
      <w:marBottom w:val="0"/>
      <w:divBdr>
        <w:top w:val="none" w:sz="0" w:space="0" w:color="auto"/>
        <w:left w:val="none" w:sz="0" w:space="0" w:color="auto"/>
        <w:bottom w:val="none" w:sz="0" w:space="0" w:color="auto"/>
        <w:right w:val="none" w:sz="0" w:space="0" w:color="auto"/>
      </w:divBdr>
      <w:divsChild>
        <w:div w:id="1186358526">
          <w:marLeft w:val="0"/>
          <w:marRight w:val="0"/>
          <w:marTop w:val="0"/>
          <w:marBottom w:val="0"/>
          <w:divBdr>
            <w:top w:val="none" w:sz="0" w:space="0" w:color="auto"/>
            <w:left w:val="none" w:sz="0" w:space="0" w:color="auto"/>
            <w:bottom w:val="none" w:sz="0" w:space="0" w:color="auto"/>
            <w:right w:val="none" w:sz="0" w:space="0" w:color="auto"/>
          </w:divBdr>
          <w:divsChild>
            <w:div w:id="139080624">
              <w:marLeft w:val="0"/>
              <w:marRight w:val="0"/>
              <w:marTop w:val="0"/>
              <w:marBottom w:val="0"/>
              <w:divBdr>
                <w:top w:val="none" w:sz="0" w:space="0" w:color="auto"/>
                <w:left w:val="none" w:sz="0" w:space="0" w:color="auto"/>
                <w:bottom w:val="none" w:sz="0" w:space="0" w:color="auto"/>
                <w:right w:val="none" w:sz="0" w:space="0" w:color="auto"/>
              </w:divBdr>
              <w:divsChild>
                <w:div w:id="298926485">
                  <w:marLeft w:val="0"/>
                  <w:marRight w:val="0"/>
                  <w:marTop w:val="0"/>
                  <w:marBottom w:val="0"/>
                  <w:divBdr>
                    <w:top w:val="none" w:sz="0" w:space="0" w:color="auto"/>
                    <w:left w:val="none" w:sz="0" w:space="0" w:color="auto"/>
                    <w:bottom w:val="none" w:sz="0" w:space="0" w:color="auto"/>
                    <w:right w:val="none" w:sz="0" w:space="0" w:color="auto"/>
                  </w:divBdr>
                </w:div>
              </w:divsChild>
            </w:div>
            <w:div w:id="19405824">
              <w:marLeft w:val="0"/>
              <w:marRight w:val="0"/>
              <w:marTop w:val="0"/>
              <w:marBottom w:val="0"/>
              <w:divBdr>
                <w:top w:val="none" w:sz="0" w:space="0" w:color="auto"/>
                <w:left w:val="none" w:sz="0" w:space="0" w:color="auto"/>
                <w:bottom w:val="none" w:sz="0" w:space="0" w:color="auto"/>
                <w:right w:val="none" w:sz="0" w:space="0" w:color="auto"/>
              </w:divBdr>
              <w:divsChild>
                <w:div w:id="21296224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56146388">
      <w:bodyDiv w:val="1"/>
      <w:marLeft w:val="0"/>
      <w:marRight w:val="0"/>
      <w:marTop w:val="0"/>
      <w:marBottom w:val="0"/>
      <w:divBdr>
        <w:top w:val="none" w:sz="0" w:space="0" w:color="auto"/>
        <w:left w:val="none" w:sz="0" w:space="0" w:color="auto"/>
        <w:bottom w:val="none" w:sz="0" w:space="0" w:color="auto"/>
        <w:right w:val="none" w:sz="0" w:space="0" w:color="auto"/>
      </w:divBdr>
    </w:div>
    <w:div w:id="577180655">
      <w:bodyDiv w:val="1"/>
      <w:marLeft w:val="0"/>
      <w:marRight w:val="0"/>
      <w:marTop w:val="0"/>
      <w:marBottom w:val="0"/>
      <w:divBdr>
        <w:top w:val="none" w:sz="0" w:space="0" w:color="auto"/>
        <w:left w:val="none" w:sz="0" w:space="0" w:color="auto"/>
        <w:bottom w:val="none" w:sz="0" w:space="0" w:color="auto"/>
        <w:right w:val="none" w:sz="0" w:space="0" w:color="auto"/>
      </w:divBdr>
    </w:div>
    <w:div w:id="620380161">
      <w:bodyDiv w:val="1"/>
      <w:marLeft w:val="0"/>
      <w:marRight w:val="0"/>
      <w:marTop w:val="0"/>
      <w:marBottom w:val="0"/>
      <w:divBdr>
        <w:top w:val="none" w:sz="0" w:space="0" w:color="auto"/>
        <w:left w:val="none" w:sz="0" w:space="0" w:color="auto"/>
        <w:bottom w:val="none" w:sz="0" w:space="0" w:color="auto"/>
        <w:right w:val="none" w:sz="0" w:space="0" w:color="auto"/>
      </w:divBdr>
      <w:divsChild>
        <w:div w:id="1059863534">
          <w:marLeft w:val="0"/>
          <w:marRight w:val="0"/>
          <w:marTop w:val="0"/>
          <w:marBottom w:val="150"/>
          <w:divBdr>
            <w:top w:val="none" w:sz="0" w:space="0" w:color="auto"/>
            <w:left w:val="none" w:sz="0" w:space="0" w:color="auto"/>
            <w:bottom w:val="none" w:sz="0" w:space="0" w:color="auto"/>
            <w:right w:val="none" w:sz="0" w:space="0" w:color="auto"/>
          </w:divBdr>
          <w:divsChild>
            <w:div w:id="1942837473">
              <w:marLeft w:val="0"/>
              <w:marRight w:val="0"/>
              <w:marTop w:val="0"/>
              <w:marBottom w:val="0"/>
              <w:divBdr>
                <w:top w:val="none" w:sz="0" w:space="0" w:color="auto"/>
                <w:left w:val="none" w:sz="0" w:space="0" w:color="auto"/>
                <w:bottom w:val="none" w:sz="0" w:space="0" w:color="auto"/>
                <w:right w:val="none" w:sz="0" w:space="0" w:color="auto"/>
              </w:divBdr>
            </w:div>
            <w:div w:id="11008387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056805">
      <w:bodyDiv w:val="1"/>
      <w:marLeft w:val="0"/>
      <w:marRight w:val="0"/>
      <w:marTop w:val="0"/>
      <w:marBottom w:val="0"/>
      <w:divBdr>
        <w:top w:val="none" w:sz="0" w:space="0" w:color="auto"/>
        <w:left w:val="none" w:sz="0" w:space="0" w:color="auto"/>
        <w:bottom w:val="none" w:sz="0" w:space="0" w:color="auto"/>
        <w:right w:val="none" w:sz="0" w:space="0" w:color="auto"/>
      </w:divBdr>
    </w:div>
    <w:div w:id="635910806">
      <w:bodyDiv w:val="1"/>
      <w:marLeft w:val="0"/>
      <w:marRight w:val="0"/>
      <w:marTop w:val="0"/>
      <w:marBottom w:val="0"/>
      <w:divBdr>
        <w:top w:val="none" w:sz="0" w:space="0" w:color="auto"/>
        <w:left w:val="none" w:sz="0" w:space="0" w:color="auto"/>
        <w:bottom w:val="none" w:sz="0" w:space="0" w:color="auto"/>
        <w:right w:val="none" w:sz="0" w:space="0" w:color="auto"/>
      </w:divBdr>
    </w:div>
    <w:div w:id="738598111">
      <w:bodyDiv w:val="1"/>
      <w:marLeft w:val="0"/>
      <w:marRight w:val="0"/>
      <w:marTop w:val="0"/>
      <w:marBottom w:val="0"/>
      <w:divBdr>
        <w:top w:val="none" w:sz="0" w:space="0" w:color="auto"/>
        <w:left w:val="none" w:sz="0" w:space="0" w:color="auto"/>
        <w:bottom w:val="none" w:sz="0" w:space="0" w:color="auto"/>
        <w:right w:val="none" w:sz="0" w:space="0" w:color="auto"/>
      </w:divBdr>
    </w:div>
    <w:div w:id="853686907">
      <w:bodyDiv w:val="1"/>
      <w:marLeft w:val="0"/>
      <w:marRight w:val="0"/>
      <w:marTop w:val="0"/>
      <w:marBottom w:val="0"/>
      <w:divBdr>
        <w:top w:val="none" w:sz="0" w:space="0" w:color="auto"/>
        <w:left w:val="none" w:sz="0" w:space="0" w:color="auto"/>
        <w:bottom w:val="none" w:sz="0" w:space="0" w:color="auto"/>
        <w:right w:val="none" w:sz="0" w:space="0" w:color="auto"/>
      </w:divBdr>
    </w:div>
    <w:div w:id="940726277">
      <w:bodyDiv w:val="1"/>
      <w:marLeft w:val="0"/>
      <w:marRight w:val="0"/>
      <w:marTop w:val="0"/>
      <w:marBottom w:val="0"/>
      <w:divBdr>
        <w:top w:val="none" w:sz="0" w:space="0" w:color="auto"/>
        <w:left w:val="none" w:sz="0" w:space="0" w:color="auto"/>
        <w:bottom w:val="none" w:sz="0" w:space="0" w:color="auto"/>
        <w:right w:val="none" w:sz="0" w:space="0" w:color="auto"/>
      </w:divBdr>
    </w:div>
    <w:div w:id="1153984601">
      <w:bodyDiv w:val="1"/>
      <w:marLeft w:val="0"/>
      <w:marRight w:val="0"/>
      <w:marTop w:val="0"/>
      <w:marBottom w:val="0"/>
      <w:divBdr>
        <w:top w:val="none" w:sz="0" w:space="0" w:color="auto"/>
        <w:left w:val="none" w:sz="0" w:space="0" w:color="auto"/>
        <w:bottom w:val="none" w:sz="0" w:space="0" w:color="auto"/>
        <w:right w:val="none" w:sz="0" w:space="0" w:color="auto"/>
      </w:divBdr>
    </w:div>
    <w:div w:id="1205799401">
      <w:bodyDiv w:val="1"/>
      <w:marLeft w:val="0"/>
      <w:marRight w:val="0"/>
      <w:marTop w:val="0"/>
      <w:marBottom w:val="0"/>
      <w:divBdr>
        <w:top w:val="none" w:sz="0" w:space="0" w:color="auto"/>
        <w:left w:val="none" w:sz="0" w:space="0" w:color="auto"/>
        <w:bottom w:val="none" w:sz="0" w:space="0" w:color="auto"/>
        <w:right w:val="none" w:sz="0" w:space="0" w:color="auto"/>
      </w:divBdr>
    </w:div>
    <w:div w:id="1206018526">
      <w:bodyDiv w:val="1"/>
      <w:marLeft w:val="0"/>
      <w:marRight w:val="0"/>
      <w:marTop w:val="0"/>
      <w:marBottom w:val="0"/>
      <w:divBdr>
        <w:top w:val="none" w:sz="0" w:space="0" w:color="auto"/>
        <w:left w:val="none" w:sz="0" w:space="0" w:color="auto"/>
        <w:bottom w:val="none" w:sz="0" w:space="0" w:color="auto"/>
        <w:right w:val="none" w:sz="0" w:space="0" w:color="auto"/>
      </w:divBdr>
      <w:divsChild>
        <w:div w:id="1106462246">
          <w:marLeft w:val="0"/>
          <w:marRight w:val="0"/>
          <w:marTop w:val="0"/>
          <w:marBottom w:val="0"/>
          <w:divBdr>
            <w:top w:val="none" w:sz="0" w:space="0" w:color="auto"/>
            <w:left w:val="none" w:sz="0" w:space="0" w:color="auto"/>
            <w:bottom w:val="none" w:sz="0" w:space="0" w:color="auto"/>
            <w:right w:val="none" w:sz="0" w:space="0" w:color="auto"/>
          </w:divBdr>
          <w:divsChild>
            <w:div w:id="1885093384">
              <w:marLeft w:val="0"/>
              <w:marRight w:val="0"/>
              <w:marTop w:val="0"/>
              <w:marBottom w:val="0"/>
              <w:divBdr>
                <w:top w:val="none" w:sz="0" w:space="0" w:color="auto"/>
                <w:left w:val="none" w:sz="0" w:space="0" w:color="auto"/>
                <w:bottom w:val="none" w:sz="0" w:space="0" w:color="auto"/>
                <w:right w:val="none" w:sz="0" w:space="0" w:color="auto"/>
              </w:divBdr>
              <w:divsChild>
                <w:div w:id="1657414715">
                  <w:marLeft w:val="0"/>
                  <w:marRight w:val="0"/>
                  <w:marTop w:val="0"/>
                  <w:marBottom w:val="0"/>
                  <w:divBdr>
                    <w:top w:val="none" w:sz="0" w:space="0" w:color="auto"/>
                    <w:left w:val="none" w:sz="0" w:space="0" w:color="auto"/>
                    <w:bottom w:val="none" w:sz="0" w:space="0" w:color="auto"/>
                    <w:right w:val="none" w:sz="0" w:space="0" w:color="auto"/>
                  </w:divBdr>
                  <w:divsChild>
                    <w:div w:id="958729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2483456">
      <w:bodyDiv w:val="1"/>
      <w:marLeft w:val="0"/>
      <w:marRight w:val="0"/>
      <w:marTop w:val="0"/>
      <w:marBottom w:val="0"/>
      <w:divBdr>
        <w:top w:val="none" w:sz="0" w:space="0" w:color="auto"/>
        <w:left w:val="none" w:sz="0" w:space="0" w:color="auto"/>
        <w:bottom w:val="none" w:sz="0" w:space="0" w:color="auto"/>
        <w:right w:val="none" w:sz="0" w:space="0" w:color="auto"/>
      </w:divBdr>
    </w:div>
    <w:div w:id="1458182366">
      <w:bodyDiv w:val="1"/>
      <w:marLeft w:val="0"/>
      <w:marRight w:val="0"/>
      <w:marTop w:val="0"/>
      <w:marBottom w:val="0"/>
      <w:divBdr>
        <w:top w:val="none" w:sz="0" w:space="0" w:color="auto"/>
        <w:left w:val="none" w:sz="0" w:space="0" w:color="auto"/>
        <w:bottom w:val="none" w:sz="0" w:space="0" w:color="auto"/>
        <w:right w:val="none" w:sz="0" w:space="0" w:color="auto"/>
      </w:divBdr>
    </w:div>
    <w:div w:id="1461070558">
      <w:bodyDiv w:val="1"/>
      <w:marLeft w:val="0"/>
      <w:marRight w:val="0"/>
      <w:marTop w:val="0"/>
      <w:marBottom w:val="0"/>
      <w:divBdr>
        <w:top w:val="none" w:sz="0" w:space="0" w:color="auto"/>
        <w:left w:val="none" w:sz="0" w:space="0" w:color="auto"/>
        <w:bottom w:val="none" w:sz="0" w:space="0" w:color="auto"/>
        <w:right w:val="none" w:sz="0" w:space="0" w:color="auto"/>
      </w:divBdr>
    </w:div>
    <w:div w:id="1487090467">
      <w:bodyDiv w:val="1"/>
      <w:marLeft w:val="0"/>
      <w:marRight w:val="0"/>
      <w:marTop w:val="0"/>
      <w:marBottom w:val="0"/>
      <w:divBdr>
        <w:top w:val="none" w:sz="0" w:space="0" w:color="auto"/>
        <w:left w:val="none" w:sz="0" w:space="0" w:color="auto"/>
        <w:bottom w:val="none" w:sz="0" w:space="0" w:color="auto"/>
        <w:right w:val="none" w:sz="0" w:space="0" w:color="auto"/>
      </w:divBdr>
      <w:divsChild>
        <w:div w:id="771897163">
          <w:marLeft w:val="0"/>
          <w:marRight w:val="0"/>
          <w:marTop w:val="0"/>
          <w:marBottom w:val="0"/>
          <w:divBdr>
            <w:top w:val="none" w:sz="0" w:space="0" w:color="auto"/>
            <w:left w:val="none" w:sz="0" w:space="0" w:color="auto"/>
            <w:bottom w:val="none" w:sz="0" w:space="0" w:color="auto"/>
            <w:right w:val="none" w:sz="0" w:space="0" w:color="auto"/>
          </w:divBdr>
        </w:div>
        <w:div w:id="1551570748">
          <w:marLeft w:val="0"/>
          <w:marRight w:val="0"/>
          <w:marTop w:val="0"/>
          <w:marBottom w:val="0"/>
          <w:divBdr>
            <w:top w:val="none" w:sz="0" w:space="0" w:color="auto"/>
            <w:left w:val="none" w:sz="0" w:space="0" w:color="auto"/>
            <w:bottom w:val="none" w:sz="0" w:space="0" w:color="auto"/>
            <w:right w:val="none" w:sz="0" w:space="0" w:color="auto"/>
          </w:divBdr>
        </w:div>
      </w:divsChild>
    </w:div>
    <w:div w:id="1606110848">
      <w:bodyDiv w:val="1"/>
      <w:marLeft w:val="0"/>
      <w:marRight w:val="0"/>
      <w:marTop w:val="0"/>
      <w:marBottom w:val="0"/>
      <w:divBdr>
        <w:top w:val="none" w:sz="0" w:space="0" w:color="auto"/>
        <w:left w:val="none" w:sz="0" w:space="0" w:color="auto"/>
        <w:bottom w:val="none" w:sz="0" w:space="0" w:color="auto"/>
        <w:right w:val="none" w:sz="0" w:space="0" w:color="auto"/>
      </w:divBdr>
      <w:divsChild>
        <w:div w:id="1021854472">
          <w:marLeft w:val="0"/>
          <w:marRight w:val="0"/>
          <w:marTop w:val="0"/>
          <w:marBottom w:val="0"/>
          <w:divBdr>
            <w:top w:val="none" w:sz="0" w:space="0" w:color="auto"/>
            <w:left w:val="none" w:sz="0" w:space="0" w:color="auto"/>
            <w:bottom w:val="none" w:sz="0" w:space="0" w:color="auto"/>
            <w:right w:val="none" w:sz="0" w:space="0" w:color="auto"/>
          </w:divBdr>
          <w:divsChild>
            <w:div w:id="1563514868">
              <w:marLeft w:val="0"/>
              <w:marRight w:val="0"/>
              <w:marTop w:val="0"/>
              <w:marBottom w:val="0"/>
              <w:divBdr>
                <w:top w:val="none" w:sz="0" w:space="0" w:color="auto"/>
                <w:left w:val="none" w:sz="0" w:space="0" w:color="auto"/>
                <w:bottom w:val="none" w:sz="0" w:space="0" w:color="auto"/>
                <w:right w:val="none" w:sz="0" w:space="0" w:color="auto"/>
              </w:divBdr>
            </w:div>
          </w:divsChild>
        </w:div>
        <w:div w:id="2047172200">
          <w:marLeft w:val="0"/>
          <w:marRight w:val="0"/>
          <w:marTop w:val="0"/>
          <w:marBottom w:val="0"/>
          <w:divBdr>
            <w:top w:val="none" w:sz="0" w:space="0" w:color="auto"/>
            <w:left w:val="none" w:sz="0" w:space="0" w:color="auto"/>
            <w:bottom w:val="none" w:sz="0" w:space="0" w:color="auto"/>
            <w:right w:val="none" w:sz="0" w:space="0" w:color="auto"/>
          </w:divBdr>
          <w:divsChild>
            <w:div w:id="404378483">
              <w:marLeft w:val="0"/>
              <w:marRight w:val="0"/>
              <w:marTop w:val="0"/>
              <w:marBottom w:val="0"/>
              <w:divBdr>
                <w:top w:val="none" w:sz="0" w:space="0" w:color="auto"/>
                <w:left w:val="none" w:sz="0" w:space="0" w:color="auto"/>
                <w:bottom w:val="none" w:sz="0" w:space="0" w:color="auto"/>
                <w:right w:val="none" w:sz="0" w:space="0" w:color="auto"/>
              </w:divBdr>
            </w:div>
          </w:divsChild>
        </w:div>
        <w:div w:id="1942637619">
          <w:marLeft w:val="0"/>
          <w:marRight w:val="0"/>
          <w:marTop w:val="0"/>
          <w:marBottom w:val="0"/>
          <w:divBdr>
            <w:top w:val="none" w:sz="0" w:space="0" w:color="auto"/>
            <w:left w:val="none" w:sz="0" w:space="0" w:color="auto"/>
            <w:bottom w:val="none" w:sz="0" w:space="0" w:color="auto"/>
            <w:right w:val="none" w:sz="0" w:space="0" w:color="auto"/>
          </w:divBdr>
          <w:divsChild>
            <w:div w:id="2017269075">
              <w:marLeft w:val="0"/>
              <w:marRight w:val="0"/>
              <w:marTop w:val="0"/>
              <w:marBottom w:val="0"/>
              <w:divBdr>
                <w:top w:val="none" w:sz="0" w:space="0" w:color="auto"/>
                <w:left w:val="none" w:sz="0" w:space="0" w:color="auto"/>
                <w:bottom w:val="none" w:sz="0" w:space="0" w:color="auto"/>
                <w:right w:val="none" w:sz="0" w:space="0" w:color="auto"/>
              </w:divBdr>
              <w:divsChild>
                <w:div w:id="190150744">
                  <w:marLeft w:val="0"/>
                  <w:marRight w:val="0"/>
                  <w:marTop w:val="0"/>
                  <w:marBottom w:val="0"/>
                  <w:divBdr>
                    <w:top w:val="none" w:sz="0" w:space="0" w:color="auto"/>
                    <w:left w:val="none" w:sz="0" w:space="0" w:color="auto"/>
                    <w:bottom w:val="none" w:sz="0" w:space="0" w:color="auto"/>
                    <w:right w:val="none" w:sz="0" w:space="0" w:color="auto"/>
                  </w:divBdr>
                  <w:divsChild>
                    <w:div w:id="2077891599">
                      <w:marLeft w:val="0"/>
                      <w:marRight w:val="0"/>
                      <w:marTop w:val="45"/>
                      <w:marBottom w:val="0"/>
                      <w:divBdr>
                        <w:top w:val="none" w:sz="0" w:space="0" w:color="auto"/>
                        <w:left w:val="none" w:sz="0" w:space="0" w:color="auto"/>
                        <w:bottom w:val="none" w:sz="0" w:space="0" w:color="auto"/>
                        <w:right w:val="none" w:sz="0" w:space="0" w:color="auto"/>
                      </w:divBdr>
                      <w:divsChild>
                        <w:div w:id="1604452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890504">
              <w:marLeft w:val="0"/>
              <w:marRight w:val="0"/>
              <w:marTop w:val="0"/>
              <w:marBottom w:val="0"/>
              <w:divBdr>
                <w:top w:val="none" w:sz="0" w:space="0" w:color="auto"/>
                <w:left w:val="none" w:sz="0" w:space="0" w:color="auto"/>
                <w:bottom w:val="none" w:sz="0" w:space="0" w:color="auto"/>
                <w:right w:val="none" w:sz="0" w:space="0" w:color="auto"/>
              </w:divBdr>
              <w:divsChild>
                <w:div w:id="1663898605">
                  <w:marLeft w:val="0"/>
                  <w:marRight w:val="0"/>
                  <w:marTop w:val="0"/>
                  <w:marBottom w:val="0"/>
                  <w:divBdr>
                    <w:top w:val="none" w:sz="0" w:space="0" w:color="auto"/>
                    <w:left w:val="none" w:sz="0" w:space="0" w:color="auto"/>
                    <w:bottom w:val="none" w:sz="0" w:space="0" w:color="auto"/>
                    <w:right w:val="none" w:sz="0" w:space="0" w:color="auto"/>
                  </w:divBdr>
                  <w:divsChild>
                    <w:div w:id="1044908258">
                      <w:marLeft w:val="0"/>
                      <w:marRight w:val="0"/>
                      <w:marTop w:val="45"/>
                      <w:marBottom w:val="0"/>
                      <w:divBdr>
                        <w:top w:val="none" w:sz="0" w:space="0" w:color="auto"/>
                        <w:left w:val="none" w:sz="0" w:space="0" w:color="auto"/>
                        <w:bottom w:val="none" w:sz="0" w:space="0" w:color="auto"/>
                        <w:right w:val="none" w:sz="0" w:space="0" w:color="auto"/>
                      </w:divBdr>
                      <w:divsChild>
                        <w:div w:id="3954688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85980901">
      <w:bodyDiv w:val="1"/>
      <w:marLeft w:val="0"/>
      <w:marRight w:val="0"/>
      <w:marTop w:val="0"/>
      <w:marBottom w:val="0"/>
      <w:divBdr>
        <w:top w:val="none" w:sz="0" w:space="0" w:color="auto"/>
        <w:left w:val="none" w:sz="0" w:space="0" w:color="auto"/>
        <w:bottom w:val="none" w:sz="0" w:space="0" w:color="auto"/>
        <w:right w:val="none" w:sz="0" w:space="0" w:color="auto"/>
      </w:divBdr>
    </w:div>
    <w:div w:id="1817143236">
      <w:bodyDiv w:val="1"/>
      <w:marLeft w:val="0"/>
      <w:marRight w:val="0"/>
      <w:marTop w:val="0"/>
      <w:marBottom w:val="0"/>
      <w:divBdr>
        <w:top w:val="none" w:sz="0" w:space="0" w:color="auto"/>
        <w:left w:val="none" w:sz="0" w:space="0" w:color="auto"/>
        <w:bottom w:val="none" w:sz="0" w:space="0" w:color="auto"/>
        <w:right w:val="none" w:sz="0" w:space="0" w:color="auto"/>
      </w:divBdr>
    </w:div>
    <w:div w:id="1924411946">
      <w:bodyDiv w:val="1"/>
      <w:marLeft w:val="0"/>
      <w:marRight w:val="0"/>
      <w:marTop w:val="0"/>
      <w:marBottom w:val="0"/>
      <w:divBdr>
        <w:top w:val="none" w:sz="0" w:space="0" w:color="auto"/>
        <w:left w:val="none" w:sz="0" w:space="0" w:color="auto"/>
        <w:bottom w:val="none" w:sz="0" w:space="0" w:color="auto"/>
        <w:right w:val="none" w:sz="0" w:space="0" w:color="auto"/>
      </w:divBdr>
    </w:div>
    <w:div w:id="1949924427">
      <w:bodyDiv w:val="1"/>
      <w:marLeft w:val="0"/>
      <w:marRight w:val="0"/>
      <w:marTop w:val="0"/>
      <w:marBottom w:val="0"/>
      <w:divBdr>
        <w:top w:val="none" w:sz="0" w:space="0" w:color="auto"/>
        <w:left w:val="none" w:sz="0" w:space="0" w:color="auto"/>
        <w:bottom w:val="none" w:sz="0" w:space="0" w:color="auto"/>
        <w:right w:val="none" w:sz="0" w:space="0" w:color="auto"/>
      </w:divBdr>
    </w:div>
    <w:div w:id="2114088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EN/TXT/?uri=CELEX:62017CJ0068" TargetMode="External"/><Relationship Id="rId18" Type="http://schemas.openxmlformats.org/officeDocument/2006/relationships/hyperlink" Target="https://curia.europa.eu/juris/document/document.jsf?text=&amp;docid=126364&amp;pageIndex=0&amp;doclang=EN&amp;mode=lst&amp;dir=&amp;occ=first&amp;part=1&amp;cid=4136703" TargetMode="External"/><Relationship Id="rId3" Type="http://schemas.openxmlformats.org/officeDocument/2006/relationships/customXml" Target="../customXml/item3.xml"/><Relationship Id="rId21" Type="http://schemas.openxmlformats.org/officeDocument/2006/relationships/hyperlink" Target="https://fra.europa.eu/en/publication/2022/antisemitism-overview-2011-2021" TargetMode="External"/><Relationship Id="rId7" Type="http://schemas.openxmlformats.org/officeDocument/2006/relationships/settings" Target="settings.xml"/><Relationship Id="rId12" Type="http://schemas.openxmlformats.org/officeDocument/2006/relationships/hyperlink" Target="https://eur-lex.europa.eu/legal-content/EN/TXT/?uri=CELEX:62015CJ0157" TargetMode="External"/><Relationship Id="rId17" Type="http://schemas.openxmlformats.org/officeDocument/2006/relationships/hyperlink" Target="https://eur-lex.europa.eu/legal-content/EN/TXT/?uri=CELEX:62016CJ0426"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curia.europa.eu/juris/document/document.jsf?text=&amp;docid=188852&amp;pageIndex=0&amp;doclang=EN&amp;mode=lst&amp;dir=&amp;occ=first&amp;part=1&amp;cid=4492991" TargetMode="External"/><Relationship Id="rId20" Type="http://schemas.openxmlformats.org/officeDocument/2006/relationships/hyperlink" Target="https://curia.europa.eu/juris/document/document.jsf?text=&amp;docid=238176&amp;pageIndex=0&amp;doclang=en&amp;mode=req&amp;dir=&amp;occ=first&amp;part=1&amp;cid=4222306"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curia.europa.eu/juris/document/document.jsf?text=&amp;docid=280183&amp;pageIndex=0&amp;doclang=EN&amp;mode=lst&amp;dir=&amp;occ=first&amp;part=1&amp;cid=4492991"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eur-lex.europa.eu/legal-content/EN/TXT/?uri=CELEX:62015CJ0188" TargetMode="External"/><Relationship Id="rId23" Type="http://schemas.openxmlformats.org/officeDocument/2006/relationships/hyperlink" Target="https://revuedlf.com/auteurs/alexis-husser/" TargetMode="External"/><Relationship Id="rId10" Type="http://schemas.openxmlformats.org/officeDocument/2006/relationships/hyperlink" Target="https://eur-lex.europa.eu/legal-content/EN/TXT/?uri=CELEX:62018CA0804" TargetMode="External"/><Relationship Id="rId19" Type="http://schemas.openxmlformats.org/officeDocument/2006/relationships/hyperlink" Target="https://rm.coe.int/1680a2353d" TargetMode="External"/><Relationship Id="rId4" Type="http://schemas.openxmlformats.org/officeDocument/2006/relationships/customXml" Target="../customXml/item4.xml"/><Relationship Id="rId9" Type="http://schemas.openxmlformats.org/officeDocument/2006/relationships/image" Target="media/image1.png"/><Relationship Id="rId14" Type="http://schemas.openxmlformats.org/officeDocument/2006/relationships/hyperlink" Target="https://eur-lex.europa.eu/legal-content/FR/TXT/?uri=CELEX:62016CJ0414" TargetMode="External"/><Relationship Id="rId22" Type="http://schemas.openxmlformats.org/officeDocument/2006/relationships/hyperlink" Target="https://revuedlf.com/type-chronique/commentaire/"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d12b6c1-4208-40cd-a392-0a6ade77a50b" xsi:nil="true"/>
    <lcf76f155ced4ddcb4097134ff3c332f xmlns="78e59776-a062-41eb-82f2-f1f2863a73d1">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BA6931C9968D945AA277EDB8A218FCF" ma:contentTypeVersion="18" ma:contentTypeDescription="Crée un document." ma:contentTypeScope="" ma:versionID="24a6dd99d959a29c0d19094bcaf9ef26">
  <xsd:schema xmlns:xsd="http://www.w3.org/2001/XMLSchema" xmlns:xs="http://www.w3.org/2001/XMLSchema" xmlns:p="http://schemas.microsoft.com/office/2006/metadata/properties" xmlns:ns2="78e59776-a062-41eb-82f2-f1f2863a73d1" xmlns:ns3="ad12b6c1-4208-40cd-a392-0a6ade77a50b" targetNamespace="http://schemas.microsoft.com/office/2006/metadata/properties" ma:root="true" ma:fieldsID="debb7080613cca79a2740f0018dcdbfd" ns2:_="" ns3:_="">
    <xsd:import namespace="78e59776-a062-41eb-82f2-f1f2863a73d1"/>
    <xsd:import namespace="ad12b6c1-4208-40cd-a392-0a6ade77a50b"/>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DateTaken"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8e59776-a062-41eb-82f2-f1f2863a73d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DateTaken" ma:index="11" nillable="true" ma:displayName="MediaServiceDateTaken" ma:hidden="true" ma:internalName="MediaServiceDateTaken"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1dd0a826-c279-4889-a048-289124af91c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d12b6c1-4208-40cd-a392-0a6ade77a50b" elementFormDefault="qualified">
    <xsd:import namespace="http://schemas.microsoft.com/office/2006/documentManagement/types"/>
    <xsd:import namespace="http://schemas.microsoft.com/office/infopath/2007/PartnerControls"/>
    <xsd:element name="SharedWithUsers" ma:index="14"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0b1e8af4-1589-49b2-806b-a7aa26539a7b}" ma:internalName="TaxCatchAll" ma:showField="CatchAllData" ma:web="ad12b6c1-4208-40cd-a392-0a6ade77a5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21CE7A6-CA47-47DE-A3D1-EB73DAA74095}">
  <ds:schemaRefs>
    <ds:schemaRef ds:uri="http://schemas.microsoft.com/office/2006/metadata/properties"/>
    <ds:schemaRef ds:uri="http://schemas.microsoft.com/office/infopath/2007/PartnerControls"/>
    <ds:schemaRef ds:uri="ad12b6c1-4208-40cd-a392-0a6ade77a50b"/>
    <ds:schemaRef ds:uri="78e59776-a062-41eb-82f2-f1f2863a73d1"/>
  </ds:schemaRefs>
</ds:datastoreItem>
</file>

<file path=customXml/itemProps2.xml><?xml version="1.0" encoding="utf-8"?>
<ds:datastoreItem xmlns:ds="http://schemas.openxmlformats.org/officeDocument/2006/customXml" ds:itemID="{1D87C379-258F-4017-8CCE-D9F554E027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8e59776-a062-41eb-82f2-f1f2863a73d1"/>
    <ds:schemaRef ds:uri="ad12b6c1-4208-40cd-a392-0a6ade77a5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4460A69-20DF-4610-9F7F-14BB719F9D9F}">
  <ds:schemaRefs>
    <ds:schemaRef ds:uri="http://schemas.openxmlformats.org/officeDocument/2006/bibliography"/>
  </ds:schemaRefs>
</ds:datastoreItem>
</file>

<file path=customXml/itemProps4.xml><?xml version="1.0" encoding="utf-8"?>
<ds:datastoreItem xmlns:ds="http://schemas.openxmlformats.org/officeDocument/2006/customXml" ds:itemID="{93220E86-D494-4203-8435-EE40ADD2AAE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125</TotalTime>
  <Pages>10</Pages>
  <Words>3341</Words>
  <Characters>19717</Characters>
  <Application>Microsoft Office Word</Application>
  <DocSecurity>0</DocSecurity>
  <Lines>164</Lines>
  <Paragraphs>46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23012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Veronika Slováčková</cp:lastModifiedBy>
  <cp:revision>72</cp:revision>
  <cp:lastPrinted>2024-02-26T09:43:00Z</cp:lastPrinted>
  <dcterms:created xsi:type="dcterms:W3CDTF">2024-03-04T13:33:00Z</dcterms:created>
  <dcterms:modified xsi:type="dcterms:W3CDTF">2025-10-17T12:12:00Z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0x0101004BA6931C9968D945AA277EDB8A218FCF</vt:lpwstr>
  </property>
  <property fmtid="{D5CDD505-2E9C-101B-9397-08002B2CF9AE}" pid="3" name="MediaServiceImageTags">
    <vt:lpwstr/>
  </property>
</Properties>
</file>